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7" w:rsidRPr="003501A7" w:rsidRDefault="003501A7" w:rsidP="003501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E7B97" w:rsidRPr="009D40B2" w:rsidRDefault="00BE7B97" w:rsidP="00BE7B97">
      <w:pPr>
        <w:jc w:val="center"/>
        <w:rPr>
          <w:rFonts w:ascii="Arial" w:hAnsi="Arial" w:cs="Arial"/>
          <w:sz w:val="24"/>
          <w:szCs w:val="24"/>
        </w:rPr>
      </w:pPr>
      <w:bookmarkStart w:id="0" w:name="_Hlk195096115"/>
      <w:bookmarkEnd w:id="0"/>
      <w:r w:rsidRPr="009D40B2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733550" cy="739930"/>
            <wp:effectExtent l="19050" t="0" r="0" b="0"/>
            <wp:docPr id="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90" cy="74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B97" w:rsidRDefault="00BE7B97" w:rsidP="00BE7B97">
      <w:pPr>
        <w:pStyle w:val="BodyA"/>
        <w:spacing w:after="0" w:line="360" w:lineRule="auto"/>
        <w:ind w:left="284"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9D40B2">
        <w:rPr>
          <w:rFonts w:ascii="Arial" w:eastAsia="Calibri" w:hAnsi="Arial" w:cs="Arial"/>
          <w:noProof/>
          <w:color w:val="auto"/>
          <w:sz w:val="24"/>
          <w:szCs w:val="24"/>
        </w:rPr>
        <w:drawing>
          <wp:inline distT="0" distB="0" distL="0" distR="0">
            <wp:extent cx="2178050" cy="133350"/>
            <wp:effectExtent l="19050" t="0" r="0" b="0"/>
            <wp:docPr id="1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352" w:rsidRDefault="003C3352" w:rsidP="00BE7B97">
      <w:pPr>
        <w:pStyle w:val="BodyA"/>
        <w:spacing w:after="0" w:line="360" w:lineRule="auto"/>
        <w:ind w:left="284" w:right="282"/>
        <w:jc w:val="center"/>
        <w:rPr>
          <w:rFonts w:ascii="Arial" w:hAnsi="Arial" w:cs="Arial"/>
          <w:b/>
          <w:bCs/>
          <w:sz w:val="24"/>
          <w:szCs w:val="24"/>
        </w:rPr>
      </w:pPr>
    </w:p>
    <w:p w:rsidR="003C3352" w:rsidRPr="009D40B2" w:rsidRDefault="003C3352" w:rsidP="00BE7B97">
      <w:pPr>
        <w:pStyle w:val="BodyA"/>
        <w:spacing w:after="0" w:line="360" w:lineRule="auto"/>
        <w:ind w:left="284" w:right="282"/>
        <w:jc w:val="center"/>
        <w:rPr>
          <w:rFonts w:ascii="Arial" w:hAnsi="Arial" w:cs="Arial"/>
          <w:b/>
          <w:bCs/>
          <w:sz w:val="24"/>
          <w:szCs w:val="24"/>
        </w:rPr>
      </w:pPr>
    </w:p>
    <w:p w:rsidR="00BE7B97" w:rsidRPr="00A85B64" w:rsidRDefault="00BE7B97" w:rsidP="00A85B64">
      <w:pPr>
        <w:pStyle w:val="BodyA"/>
        <w:spacing w:after="0" w:line="360" w:lineRule="auto"/>
        <w:ind w:right="282"/>
        <w:jc w:val="right"/>
        <w:rPr>
          <w:rFonts w:ascii="Arial" w:hAnsi="Arial" w:cs="Arial"/>
          <w:b/>
          <w:bCs/>
          <w:sz w:val="24"/>
          <w:szCs w:val="24"/>
        </w:rPr>
      </w:pPr>
      <w:r w:rsidRPr="00A85B64">
        <w:rPr>
          <w:rFonts w:ascii="Arial" w:hAnsi="Arial" w:cs="Arial"/>
          <w:b/>
          <w:bCs/>
          <w:sz w:val="24"/>
          <w:szCs w:val="24"/>
        </w:rPr>
        <w:t>Αθήνα, 1</w:t>
      </w:r>
      <w:r w:rsidR="00FD2B74" w:rsidRPr="00A85B64">
        <w:rPr>
          <w:rFonts w:ascii="Arial" w:hAnsi="Arial" w:cs="Arial"/>
          <w:b/>
          <w:bCs/>
          <w:sz w:val="24"/>
          <w:szCs w:val="24"/>
        </w:rPr>
        <w:t>6</w:t>
      </w:r>
      <w:r w:rsidR="00002555" w:rsidRPr="00A85B64">
        <w:rPr>
          <w:rFonts w:ascii="Arial" w:hAnsi="Arial" w:cs="Arial"/>
          <w:b/>
          <w:bCs/>
          <w:sz w:val="24"/>
          <w:szCs w:val="24"/>
        </w:rPr>
        <w:t xml:space="preserve"> Ιουλίου 2025</w:t>
      </w:r>
    </w:p>
    <w:p w:rsidR="00BE7B97" w:rsidRPr="00A85B64" w:rsidRDefault="00BE7B97" w:rsidP="00A85B64">
      <w:pPr>
        <w:pStyle w:val="BodyA"/>
        <w:spacing w:after="0" w:line="360" w:lineRule="auto"/>
        <w:ind w:right="282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E7B97" w:rsidRDefault="00BE7B97" w:rsidP="00A85B64">
      <w:pPr>
        <w:pStyle w:val="BodyA"/>
        <w:spacing w:line="360" w:lineRule="auto"/>
        <w:ind w:left="-850" w:right="-85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85B64">
        <w:rPr>
          <w:rFonts w:ascii="Arial" w:hAnsi="Arial" w:cs="Arial"/>
          <w:b/>
          <w:bCs/>
          <w:sz w:val="24"/>
          <w:szCs w:val="24"/>
          <w:u w:val="single"/>
        </w:rPr>
        <w:t>ΕΡΩΤΗΣΗ</w:t>
      </w:r>
    </w:p>
    <w:p w:rsidR="003C3352" w:rsidRPr="00A85B64" w:rsidRDefault="003C3352" w:rsidP="00A85B64">
      <w:pPr>
        <w:pStyle w:val="BodyA"/>
        <w:spacing w:line="360" w:lineRule="auto"/>
        <w:ind w:left="-850" w:right="-85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E7B97" w:rsidRDefault="00BE7B97" w:rsidP="00A85B64">
      <w:pPr>
        <w:pStyle w:val="BodyA"/>
        <w:spacing w:after="0" w:line="360" w:lineRule="auto"/>
        <w:ind w:left="-850" w:right="-850"/>
        <w:jc w:val="center"/>
        <w:rPr>
          <w:rFonts w:ascii="Arial" w:hAnsi="Arial" w:cs="Arial"/>
          <w:b/>
          <w:bCs/>
          <w:sz w:val="24"/>
          <w:szCs w:val="24"/>
        </w:rPr>
      </w:pPr>
      <w:r w:rsidRPr="00A85B64">
        <w:rPr>
          <w:rFonts w:ascii="Arial" w:hAnsi="Arial" w:cs="Arial"/>
          <w:b/>
          <w:bCs/>
          <w:sz w:val="24"/>
          <w:szCs w:val="24"/>
        </w:rPr>
        <w:t>Προς τ</w:t>
      </w:r>
      <w:r w:rsidR="00002555" w:rsidRPr="00A85B64">
        <w:rPr>
          <w:rFonts w:ascii="Arial" w:hAnsi="Arial" w:cs="Arial"/>
          <w:b/>
          <w:bCs/>
          <w:sz w:val="24"/>
          <w:szCs w:val="24"/>
        </w:rPr>
        <w:t xml:space="preserve">ην </w:t>
      </w:r>
      <w:r w:rsidRPr="00A85B64">
        <w:rPr>
          <w:rFonts w:ascii="Arial" w:hAnsi="Arial" w:cs="Arial"/>
          <w:b/>
          <w:bCs/>
          <w:sz w:val="24"/>
          <w:szCs w:val="24"/>
        </w:rPr>
        <w:t>Υπουργό Παιδείας, Θρησκευμάτων και Αθλητισμού</w:t>
      </w:r>
    </w:p>
    <w:p w:rsidR="003C3352" w:rsidRPr="00A85B64" w:rsidRDefault="003C3352" w:rsidP="00A85B64">
      <w:pPr>
        <w:pStyle w:val="BodyA"/>
        <w:spacing w:after="0" w:line="360" w:lineRule="auto"/>
        <w:ind w:left="-850" w:right="-85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:rsidR="003501A7" w:rsidRPr="00A85B64" w:rsidRDefault="00BE7B97" w:rsidP="00A85B64">
      <w:pPr>
        <w:spacing w:before="100" w:beforeAutospacing="1" w:after="100" w:afterAutospacing="1"/>
        <w:ind w:left="-850" w:right="-850"/>
        <w:jc w:val="both"/>
        <w:rPr>
          <w:rFonts w:ascii="Arial" w:hAnsi="Arial" w:cs="Arial"/>
          <w:b/>
          <w:bCs/>
          <w:sz w:val="24"/>
          <w:szCs w:val="24"/>
        </w:rPr>
      </w:pPr>
      <w:r w:rsidRPr="00A85B64">
        <w:rPr>
          <w:rFonts w:ascii="Arial" w:hAnsi="Arial" w:cs="Arial"/>
          <w:b/>
          <w:bCs/>
          <w:sz w:val="24"/>
          <w:szCs w:val="24"/>
        </w:rPr>
        <w:t>Θέμα: «</w:t>
      </w:r>
      <w:r w:rsidRPr="00A85B6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Δύο χρόνια εμπαιγμός για το Στάδιο Ελευθερίας – Το πλήρως ανακαινισμένο “στολίδι” που μετατράπηκε σε φιάσκο</w:t>
      </w:r>
      <w:r w:rsidRPr="00A85B64">
        <w:rPr>
          <w:rFonts w:ascii="Arial" w:hAnsi="Arial" w:cs="Arial"/>
          <w:b/>
          <w:bCs/>
          <w:sz w:val="24"/>
          <w:szCs w:val="24"/>
        </w:rPr>
        <w:t>»</w:t>
      </w:r>
    </w:p>
    <w:p w:rsidR="003501A7" w:rsidRPr="00A85B64" w:rsidRDefault="003501A7" w:rsidP="00A85B64">
      <w:pPr>
        <w:spacing w:after="0"/>
        <w:ind w:left="-850" w:right="-850" w:firstLine="426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sz w:val="24"/>
          <w:szCs w:val="24"/>
          <w:lang w:eastAsia="el-GR"/>
        </w:rPr>
        <w:t>Το Στάδιο Ελευθερίας αποτελεί έναν από τους πιο ιστορικούς και κεντρικούς αθλητικούς χώρους της πόλης του Ηρακλείου</w:t>
      </w:r>
      <w:r w:rsidR="00BE7B97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Κρήτης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, με κρίσιμο ρόλο 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>στην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ανάπτυξη του στίβου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>και τη στήριξη αθλητικών σωματείων και προπονητών</w:t>
      </w:r>
      <w:r w:rsidR="00F679B6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που</w:t>
      </w:r>
      <w:r w:rsidR="00002555" w:rsidRPr="00A85B64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F679B6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δυστυχώς 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>όμως,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έχει μετατραπεί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τα τελευταία χρόνια,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σε πεδίο </w:t>
      </w:r>
      <w:r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πολιτικής υποκρισίας, τεχνικής ανευθυνότητας και απουσίας λογοδοσίας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002555" w:rsidRPr="00A85B64" w:rsidRDefault="00002555" w:rsidP="00A85B64">
      <w:pPr>
        <w:spacing w:after="0"/>
        <w:ind w:left="-850" w:right="-850" w:firstLine="426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B5BCD" w:rsidRPr="00A85B64" w:rsidRDefault="00F679B6" w:rsidP="00A85B64">
      <w:pPr>
        <w:spacing w:after="0"/>
        <w:ind w:left="-850" w:right="-850" w:firstLine="426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Το πολύπαθο έργο της αναβάθμισης του </w:t>
      </w:r>
      <w:r w:rsidR="002711FD" w:rsidRPr="00A85B64">
        <w:rPr>
          <w:rFonts w:ascii="Arial" w:eastAsia="Times New Roman" w:hAnsi="Arial" w:cs="Arial"/>
          <w:sz w:val="24"/>
          <w:szCs w:val="24"/>
          <w:lang w:eastAsia="el-GR"/>
        </w:rPr>
        <w:t>Εθνικού Αθλητικού Κέντρου Ηρακλείου (ΕΑΚΗ)</w:t>
      </w:r>
      <w:r w:rsidR="00BE7B97" w:rsidRPr="00A85B64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ανάγεται ήδη στον Οκτώβριο του 2020, </w:t>
      </w:r>
      <w:r w:rsidR="00002555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οπότε 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και </w:t>
      </w:r>
      <w:r w:rsidR="00BE7B97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το στάδιο 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ανακαινίστηκε πλήρως. Ωστόσο, παρά 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το γεγονός ότι 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τότε 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>παραδόθηκε προς χρήση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2711FD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συνοδεία «πανηγυρισμών», 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τους επόμενους 6 μήνες, το ταρτάν άρχισε να </w:t>
      </w:r>
      <w:r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ξεκολλά και να τρυπά, προκαλώντας τραυματισμούς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σε αθλητές. Το ΕΑΚΗ, αναγνωρίζοντας τον κίνδυνο, απαγόρευσε τη χρήση του σταδίου από συλλόγους και προπονητές</w:t>
      </w:r>
      <w:r w:rsidR="00BE7B97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ενώ τα σωματεία και  οι τοπικοί φορείς ζήτησαν </w:t>
      </w:r>
      <w:r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ολική αντικατάσταση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του ταρτάν</w:t>
      </w:r>
      <w:r w:rsidR="00BE7B97" w:rsidRPr="00A85B64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ήδη από το </w:t>
      </w:r>
      <w:r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Μάιο του 2021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, καθώς αποδείχθηκε πως το υλικό ήταν </w:t>
      </w:r>
      <w:r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υποδεέστερο των προδιαγραφών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>Ένα χρόνο αργότερα, το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Μάιο του 2022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>, η Διοικούσα Επιτροπή του ΕΑΚΗ</w:t>
      </w:r>
      <w:r w:rsidR="002711FD" w:rsidRPr="00A85B64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κήρυξε </w:t>
      </w:r>
      <w:r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έκπτωτη την ανάδοχο εταιρεία ALPHA ERGOSPORT A.E.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>, μετά από σχετική απόφαση</w:t>
      </w:r>
      <w:r w:rsidR="002711FD" w:rsidRPr="00A85B64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λόγω μη συμμόρφωσης στις υποχρεώσεις αποκατάστασης. </w:t>
      </w:r>
    </w:p>
    <w:p w:rsidR="00002555" w:rsidRPr="00A85B64" w:rsidRDefault="00002555" w:rsidP="00A85B64">
      <w:pPr>
        <w:spacing w:after="0"/>
        <w:ind w:left="-850" w:right="-850" w:firstLine="426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711FD" w:rsidRPr="00A85B64" w:rsidRDefault="00F679B6" w:rsidP="00A85B64">
      <w:pPr>
        <w:spacing w:after="0"/>
        <w:ind w:left="-850" w:right="-850" w:firstLine="426"/>
        <w:jc w:val="both"/>
        <w:rPr>
          <w:rFonts w:ascii="Arial" w:hAnsi="Arial" w:cs="Arial"/>
          <w:sz w:val="24"/>
          <w:szCs w:val="24"/>
        </w:rPr>
      </w:pPr>
      <w:r w:rsidRPr="00A85B64">
        <w:rPr>
          <w:rFonts w:ascii="Arial" w:eastAsia="Times New Roman" w:hAnsi="Arial" w:cs="Arial"/>
          <w:sz w:val="24"/>
          <w:szCs w:val="24"/>
          <w:lang w:eastAsia="el-GR"/>
        </w:rPr>
        <w:t>Έκτοτε, από το φθινόπωρο του 2024 έως σήμερα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παρά την αποδοχή των τεχνικών προβλημάτων, η ηγεσία του Υπουργείου Πολιτισμού και Αθλητισμού εξακολούθησε να </w:t>
      </w:r>
      <w:r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προβαίνει σε επικοινωνιακού χαρακτήρα αλλεπάλληλες  εξαγγελίες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>, για νέα μελέτη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>προϋπολογισμό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και δημοπράτηση του έργου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>, χωρίς όμως ουσιαστικό αντίκρισμα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Παρά τις διαβεβαιώσεις του κ. </w:t>
      </w:r>
      <w:proofErr w:type="spellStart"/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>Βρούτση</w:t>
      </w:r>
      <w:proofErr w:type="spellEnd"/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για ολοκλήρωση της δημοπ</w:t>
      </w:r>
      <w:r w:rsidR="002711FD" w:rsidRPr="00A85B64">
        <w:rPr>
          <w:rFonts w:ascii="Arial" w:eastAsia="Times New Roman" w:hAnsi="Arial" w:cs="Arial"/>
          <w:sz w:val="24"/>
          <w:szCs w:val="24"/>
          <w:lang w:eastAsia="el-GR"/>
        </w:rPr>
        <w:t>ράτησης μέχρι το τέλος του 2024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, το </w:t>
      </w:r>
      <w:r w:rsidR="00FB5BCD"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Μάρτιο του 2025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, εξαγγέλθηκε εκ νέου η προκήρυξη έργου ύψους 1,1 εκατ. ευρώ (εξαιτίας και αναπροσαρμογής του κόστους λόγω παρελθόντος διαστήματος από την πρώτη μελέτη) με δημοπράτηση εντός τριμήνου. Στις </w:t>
      </w:r>
      <w:r w:rsidR="00FB5BCD"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28 Απριλίου 2025</w:t>
      </w:r>
      <w:r w:rsidR="00FB5BCD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, η δημοπράτηση όντως αναρτήθηκε, όμως </w:t>
      </w:r>
      <w:r w:rsidR="00FB5BCD"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έως σήμερα</w:t>
      </w:r>
      <w:r w:rsidR="00BE7B97"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="00BE7B97"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lastRenderedPageBreak/>
        <w:t>2,5 μήνες μετά,</w:t>
      </w:r>
      <w:r w:rsidR="00FB5BCD"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δεν υπάρχει ανάδοχος</w:t>
      </w:r>
      <w:r w:rsidR="00BE7B97"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,</w:t>
      </w:r>
      <w:r w:rsidR="002711FD"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ούτε εξέλιξη του έργου, με αποτέλεσμα </w:t>
      </w:r>
      <w:r w:rsidR="002711FD" w:rsidRPr="00A85B64">
        <w:rPr>
          <w:rFonts w:ascii="Arial" w:hAnsi="Arial" w:cs="Arial"/>
          <w:bCs/>
          <w:sz w:val="24"/>
          <w:szCs w:val="24"/>
        </w:rPr>
        <w:t>ένα στάδιο-φάντασμα</w:t>
      </w:r>
      <w:r w:rsidR="002711FD" w:rsidRPr="00A85B64">
        <w:rPr>
          <w:rFonts w:ascii="Arial" w:hAnsi="Arial" w:cs="Arial"/>
          <w:sz w:val="24"/>
          <w:szCs w:val="24"/>
        </w:rPr>
        <w:t>, σε πλήρη αδυναμία να εξυπηρετήσει τις ανάγκες του στίβου και των αθλητικών συλλόγων της πόλης.</w:t>
      </w:r>
    </w:p>
    <w:p w:rsidR="002711FD" w:rsidRPr="00A85B64" w:rsidRDefault="002711FD" w:rsidP="00A85B64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sz w:val="24"/>
          <w:szCs w:val="24"/>
          <w:lang w:eastAsia="el-GR"/>
        </w:rPr>
        <w:t>Κατά συνέπεια:</w:t>
      </w:r>
    </w:p>
    <w:p w:rsidR="002711FD" w:rsidRPr="00A85B64" w:rsidRDefault="002711FD" w:rsidP="00A85B64">
      <w:pPr>
        <w:spacing w:after="0"/>
        <w:ind w:left="-850" w:right="-850" w:firstLine="426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Επειδή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>, η διαρκής αθέτηση υποσχέσεων και η ανικανότητα υλοποίησης ενός τόσο βασικού έργου</w:t>
      </w:r>
      <w:r w:rsidR="008E74AF" w:rsidRPr="00A85B64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δεν μπορούν να συγκαλυφθούν με νέες εξαγγελίες</w:t>
      </w:r>
      <w:r w:rsidR="00002555"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,</w:t>
      </w:r>
    </w:p>
    <w:p w:rsidR="008E74AF" w:rsidRPr="00A85B64" w:rsidRDefault="008E74AF" w:rsidP="00A85B64">
      <w:pPr>
        <w:spacing w:after="0"/>
        <w:ind w:left="-850" w:right="-850" w:firstLine="426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Επειδή,</w:t>
      </w:r>
      <w:r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είναι άδικο η τοπική κοινωνία να υφίσταται τις συνέπειες «πολιτικών παιχνιδιών» μεταξύ των εμπλεκομένων πολιτικών προσώπων</w:t>
      </w:r>
      <w:r w:rsidR="00002555"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,</w:t>
      </w:r>
    </w:p>
    <w:p w:rsidR="00F679B6" w:rsidRPr="00A85B64" w:rsidRDefault="002711FD" w:rsidP="00A85B64">
      <w:pPr>
        <w:ind w:left="-850" w:right="-850" w:firstLine="426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Επειδή,</w:t>
      </w:r>
      <w:r w:rsidRPr="00A85B64">
        <w:rPr>
          <w:rFonts w:ascii="Arial" w:eastAsia="Times New Roman" w:hAnsi="Arial" w:cs="Arial"/>
          <w:sz w:val="24"/>
          <w:szCs w:val="24"/>
          <w:lang w:eastAsia="el-GR"/>
        </w:rPr>
        <w:t xml:space="preserve"> οι πολίτες του Ηρακλείου και η αθλητική νεολαία απαιτούν </w:t>
      </w:r>
      <w:r w:rsidRPr="00A85B64">
        <w:rPr>
          <w:rFonts w:ascii="Arial" w:eastAsia="Times New Roman" w:hAnsi="Arial" w:cs="Arial"/>
          <w:bCs/>
          <w:sz w:val="24"/>
          <w:szCs w:val="24"/>
          <w:lang w:eastAsia="el-GR"/>
        </w:rPr>
        <w:t>συγκεκριμένες απαντήσεις και άμεση δράση</w:t>
      </w:r>
    </w:p>
    <w:p w:rsidR="002711FD" w:rsidRPr="00A85B64" w:rsidRDefault="002711FD" w:rsidP="00A85B64">
      <w:pPr>
        <w:spacing w:after="0"/>
        <w:ind w:left="-850" w:right="-850" w:firstLine="426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Ερωτάται </w:t>
      </w:r>
      <w:r w:rsidR="00002555"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η αρμόδια </w:t>
      </w: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Υπουργός</w:t>
      </w:r>
      <w:r w:rsidR="008E74AF"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:</w:t>
      </w:r>
    </w:p>
    <w:p w:rsidR="003501A7" w:rsidRPr="00A85B64" w:rsidRDefault="003501A7" w:rsidP="00A85B64">
      <w:pPr>
        <w:numPr>
          <w:ilvl w:val="0"/>
          <w:numId w:val="3"/>
        </w:numPr>
        <w:spacing w:before="100" w:beforeAutospacing="1" w:after="120" w:line="240" w:lineRule="auto"/>
        <w:ind w:left="-850" w:right="-850" w:hanging="357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Ποια είναι η τρέχουσα κατάσταση της διαδικασίας ανάθεσης του έργου για την αποκατάσταση του ταρτάν στο Στάδιο Ελευθερίας;</w:t>
      </w:r>
    </w:p>
    <w:p w:rsidR="003501A7" w:rsidRPr="00A85B64" w:rsidRDefault="003501A7" w:rsidP="00A85B64">
      <w:pPr>
        <w:numPr>
          <w:ilvl w:val="0"/>
          <w:numId w:val="3"/>
        </w:numPr>
        <w:spacing w:before="100" w:beforeAutospacing="1" w:after="120" w:line="240" w:lineRule="auto"/>
        <w:ind w:left="-850" w:right="-850" w:hanging="357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Ποιος είναι ο λόγος καθυστέρησης μετά την ανάρτηση της δημοπράτησης από τον Απρίλιο του 2025 και πότε αναμένεται να αναδειχθεί ανάδοχος;</w:t>
      </w:r>
    </w:p>
    <w:p w:rsidR="003501A7" w:rsidRPr="00A85B64" w:rsidRDefault="003501A7" w:rsidP="00A85B64">
      <w:pPr>
        <w:numPr>
          <w:ilvl w:val="0"/>
          <w:numId w:val="3"/>
        </w:numPr>
        <w:spacing w:before="100" w:beforeAutospacing="1" w:after="120" w:line="240" w:lineRule="auto"/>
        <w:ind w:left="-850" w:right="-850" w:hanging="357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Πότε θα ξεκινήσει και πότε θα ολοκληρωθεί το έργο σύμφωνα με επίσημο και δεσμευτικό χρονοδιάγραμμα;</w:t>
      </w:r>
    </w:p>
    <w:p w:rsidR="003501A7" w:rsidRPr="00A85B64" w:rsidRDefault="003501A7" w:rsidP="00A85B64">
      <w:pPr>
        <w:numPr>
          <w:ilvl w:val="0"/>
          <w:numId w:val="3"/>
        </w:numPr>
        <w:spacing w:before="100" w:beforeAutospacing="1" w:after="120" w:line="240" w:lineRule="auto"/>
        <w:ind w:left="-850" w:right="-850" w:hanging="357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Υπάρχει πρόβλεψη για αποζημίωση ή επανόρθωση για τους συλλόγους και τους αθλητές που στερήθηκαν για χρόνια την πρόσβαση σε αξιοπρεπείς υποδομές;</w:t>
      </w:r>
    </w:p>
    <w:p w:rsidR="008E74AF" w:rsidRPr="00A85B64" w:rsidRDefault="003501A7" w:rsidP="00A85B64">
      <w:pPr>
        <w:numPr>
          <w:ilvl w:val="0"/>
          <w:numId w:val="3"/>
        </w:numPr>
        <w:spacing w:before="100" w:beforeAutospacing="1" w:after="120" w:line="240" w:lineRule="auto"/>
        <w:ind w:left="-850" w:right="-850" w:hanging="357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Πώς προτίθεται η πολιτική ηγεσία του Υπουργείου να αποκαταστήσει την αξιοπιστία της πολιτείας σε σχέση με τις δεσμεύσεις της προς την αθλητική κοινότητα του Ηρακλείου</w:t>
      </w:r>
      <w:r w:rsidR="008E74AF"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, που στερήθηκε τόσα χρόνια την πρόσβαση σε αξιοπρεπείς υποδομές</w:t>
      </w: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;</w:t>
      </w:r>
    </w:p>
    <w:p w:rsidR="003501A7" w:rsidRPr="00A85B64" w:rsidRDefault="003501A7" w:rsidP="00A85B64">
      <w:pPr>
        <w:numPr>
          <w:ilvl w:val="0"/>
          <w:numId w:val="3"/>
        </w:numPr>
        <w:spacing w:before="100" w:beforeAutospacing="1" w:after="120" w:line="240" w:lineRule="auto"/>
        <w:ind w:left="-850" w:right="-850" w:hanging="357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Έχει υπάρξει </w:t>
      </w:r>
      <w:r w:rsidR="008E74AF"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κάποια πρόσφατη επίσημη συνάντηση ή συνεννόηση</w:t>
      </w: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του Υπουργείου με την Αυτοδιοίκηση για τη σημερινή κατάσταση και τις μελλοντικές ενέργειες</w:t>
      </w:r>
      <w:r w:rsidR="008E74AF"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και ποιο ήταν το αποτέλεσμα της</w:t>
      </w: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;</w:t>
      </w:r>
    </w:p>
    <w:p w:rsidR="00FD2B74" w:rsidRPr="00A85B64" w:rsidRDefault="00FD2B74" w:rsidP="00A85B64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8E74AF" w:rsidRPr="00A85B64" w:rsidRDefault="008E74AF" w:rsidP="00A85B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Οι Ερωτώντες Βουλευτές</w:t>
      </w:r>
    </w:p>
    <w:p w:rsidR="008E74AF" w:rsidRPr="00A85B64" w:rsidRDefault="008E74AF" w:rsidP="00A85B64">
      <w:pPr>
        <w:spacing w:before="100" w:beforeAutospacing="1" w:after="0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Μαμουλάκης Χάρης</w:t>
      </w:r>
    </w:p>
    <w:p w:rsidR="00EC4685" w:rsidRPr="00A85B64" w:rsidRDefault="00EC4685" w:rsidP="00A85B64">
      <w:pPr>
        <w:spacing w:before="100" w:beforeAutospacing="1" w:after="0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C4685" w:rsidRPr="00A85B64" w:rsidRDefault="00EC468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Βέττα Καλλιόπη</w:t>
      </w:r>
    </w:p>
    <w:p w:rsidR="00EC4685" w:rsidRPr="00A85B64" w:rsidRDefault="00EC468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C4685" w:rsidRPr="00A85B64" w:rsidRDefault="00EC468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Γιαννούλης Χρήστος </w:t>
      </w:r>
    </w:p>
    <w:p w:rsidR="00EC4685" w:rsidRPr="00A85B64" w:rsidRDefault="00EC468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C4685" w:rsidRDefault="00EC468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Δούρου Ειρήνη</w:t>
      </w:r>
    </w:p>
    <w:p w:rsidR="00A85B64" w:rsidRPr="00A85B64" w:rsidRDefault="00A85B64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C4685" w:rsidRDefault="00EC468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Κασιμάτη Νίνα</w:t>
      </w:r>
    </w:p>
    <w:p w:rsidR="00A85B64" w:rsidRPr="00A85B64" w:rsidRDefault="00A85B64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FD2B74" w:rsidRPr="00A85B64" w:rsidRDefault="00FD2B74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proofErr w:type="spellStart"/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Κοντότολη</w:t>
      </w:r>
      <w:proofErr w:type="spellEnd"/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Μαρίνα</w:t>
      </w:r>
    </w:p>
    <w:p w:rsidR="00EC4685" w:rsidRPr="00A85B64" w:rsidRDefault="00EC468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C4685" w:rsidRPr="00A85B64" w:rsidRDefault="00EC468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Μεϊκόπουλος Αλέξανδρος</w:t>
      </w:r>
    </w:p>
    <w:p w:rsidR="00EC4685" w:rsidRPr="00A85B64" w:rsidRDefault="00EC468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C4685" w:rsidRPr="00A85B64" w:rsidRDefault="00EC468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Μπάρκας Κωνσταντίνος</w:t>
      </w:r>
    </w:p>
    <w:p w:rsidR="00EC4685" w:rsidRPr="00A85B64" w:rsidRDefault="00EC468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C4685" w:rsidRPr="00A85B64" w:rsidRDefault="00EC468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proofErr w:type="spellStart"/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Πολάκης</w:t>
      </w:r>
      <w:proofErr w:type="spellEnd"/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Παύλος</w:t>
      </w:r>
    </w:p>
    <w:p w:rsidR="00EC4685" w:rsidRPr="00A85B64" w:rsidRDefault="00EC468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C4685" w:rsidRPr="00A85B64" w:rsidRDefault="00EC468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Τσαπανίδου Πόπη</w:t>
      </w:r>
    </w:p>
    <w:p w:rsidR="00002555" w:rsidRPr="00A85B64" w:rsidRDefault="0000255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002555" w:rsidRPr="00A85B64" w:rsidRDefault="00FD2B74" w:rsidP="003C3352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85B64">
        <w:rPr>
          <w:rFonts w:ascii="Arial" w:eastAsia="Times New Roman" w:hAnsi="Arial" w:cs="Arial"/>
          <w:b/>
          <w:sz w:val="24"/>
          <w:szCs w:val="24"/>
          <w:lang w:eastAsia="el-GR"/>
        </w:rPr>
        <w:t>Ψυχογιός Γεώργιος</w:t>
      </w:r>
    </w:p>
    <w:p w:rsidR="00002555" w:rsidRPr="00A85B64" w:rsidRDefault="00002555" w:rsidP="00A85B64">
      <w:pPr>
        <w:spacing w:after="0"/>
        <w:ind w:right="14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FD2B74" w:rsidRPr="00A85B64" w:rsidRDefault="00FD2B74" w:rsidP="00A85B64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3501A7" w:rsidRPr="00A85B64" w:rsidRDefault="003501A7" w:rsidP="00A85B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68029F" w:rsidRPr="00A85B64" w:rsidRDefault="0068029F" w:rsidP="00A85B64">
      <w:pPr>
        <w:rPr>
          <w:rFonts w:ascii="Arial" w:hAnsi="Arial" w:cs="Arial"/>
          <w:sz w:val="24"/>
          <w:szCs w:val="24"/>
        </w:rPr>
      </w:pPr>
    </w:p>
    <w:sectPr w:rsidR="0068029F" w:rsidRPr="00A85B64" w:rsidSect="00FD2B74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7612"/>
    <w:multiLevelType w:val="multilevel"/>
    <w:tmpl w:val="AC0E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908D0"/>
    <w:multiLevelType w:val="multilevel"/>
    <w:tmpl w:val="888C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57E37"/>
    <w:multiLevelType w:val="multilevel"/>
    <w:tmpl w:val="D416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54733"/>
    <w:multiLevelType w:val="multilevel"/>
    <w:tmpl w:val="6C0A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66410"/>
    <w:multiLevelType w:val="multilevel"/>
    <w:tmpl w:val="1110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0655F"/>
    <w:multiLevelType w:val="multilevel"/>
    <w:tmpl w:val="82C2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005BD"/>
    <w:multiLevelType w:val="hybridMultilevel"/>
    <w:tmpl w:val="B99C0E5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7"/>
    <w:rsid w:val="00002555"/>
    <w:rsid w:val="000932CE"/>
    <w:rsid w:val="002711FD"/>
    <w:rsid w:val="003501A7"/>
    <w:rsid w:val="00353974"/>
    <w:rsid w:val="0038181E"/>
    <w:rsid w:val="003C3352"/>
    <w:rsid w:val="004F5245"/>
    <w:rsid w:val="0068029F"/>
    <w:rsid w:val="006F1EE5"/>
    <w:rsid w:val="008E74AF"/>
    <w:rsid w:val="009F1B5F"/>
    <w:rsid w:val="00A85B64"/>
    <w:rsid w:val="00AF57A3"/>
    <w:rsid w:val="00BE7B97"/>
    <w:rsid w:val="00C90053"/>
    <w:rsid w:val="00D850BF"/>
    <w:rsid w:val="00EC4685"/>
    <w:rsid w:val="00F679B6"/>
    <w:rsid w:val="00FB5BCD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5349"/>
  <w15:docId w15:val="{BEFDBE76-8BD2-443C-8AEF-2F106883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9F"/>
  </w:style>
  <w:style w:type="paragraph" w:styleId="3">
    <w:name w:val="heading 3"/>
    <w:basedOn w:val="a"/>
    <w:link w:val="3Char"/>
    <w:uiPriority w:val="9"/>
    <w:qFormat/>
    <w:rsid w:val="00350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501A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3501A7"/>
    <w:rPr>
      <w:b/>
      <w:bCs/>
    </w:rPr>
  </w:style>
  <w:style w:type="paragraph" w:styleId="Web">
    <w:name w:val="Normal (Web)"/>
    <w:basedOn w:val="a"/>
    <w:uiPriority w:val="99"/>
    <w:semiHidden/>
    <w:unhideWhenUsed/>
    <w:rsid w:val="0035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r-only">
    <w:name w:val="sr-only"/>
    <w:basedOn w:val="a0"/>
    <w:rsid w:val="003501A7"/>
  </w:style>
  <w:style w:type="paragraph" w:customStyle="1" w:styleId="BodyA">
    <w:name w:val="Body A"/>
    <w:uiPriority w:val="99"/>
    <w:rsid w:val="00BE7B97"/>
    <w:rPr>
      <w:rFonts w:ascii="Calibri" w:eastAsia="Arial Unicode MS" w:hAnsi="Calibri" w:cs="Arial Unicode MS"/>
      <w:color w:val="000000"/>
      <w:u w:color="00000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E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7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84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3229</Characters>
  <Application>Microsoft Office Word</Application>
  <DocSecurity>4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Μπουτσάκης Σωτήριος</cp:lastModifiedBy>
  <cp:revision>2</cp:revision>
  <dcterms:created xsi:type="dcterms:W3CDTF">2025-07-16T12:22:00Z</dcterms:created>
  <dcterms:modified xsi:type="dcterms:W3CDTF">2025-07-16T12:22:00Z</dcterms:modified>
</cp:coreProperties>
</file>