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F5" w:rsidRPr="00A52F2A" w:rsidRDefault="00C41D25" w:rsidP="005C572E">
      <w:pPr>
        <w:pStyle w:val="Web"/>
        <w:spacing w:line="360" w:lineRule="auto"/>
        <w:jc w:val="center"/>
        <w:rPr>
          <w:b/>
          <w:u w:val="single"/>
        </w:rPr>
      </w:pPr>
      <w:bookmarkStart w:id="0" w:name="_GoBack"/>
      <w:bookmarkEnd w:id="0"/>
      <w:r>
        <w:rPr>
          <w:b/>
          <w:u w:val="single"/>
        </w:rPr>
        <w:t>13</w:t>
      </w:r>
      <w:r w:rsidR="00B34446">
        <w:rPr>
          <w:b/>
          <w:u w:val="single"/>
        </w:rPr>
        <w:t xml:space="preserve"> </w:t>
      </w:r>
      <w:r w:rsidR="00980DF5" w:rsidRPr="00A52F2A">
        <w:rPr>
          <w:b/>
          <w:u w:val="single"/>
        </w:rPr>
        <w:t xml:space="preserve">Προγραμματικές προτάσεις για </w:t>
      </w:r>
      <w:r w:rsidR="00BB7B1D">
        <w:rPr>
          <w:b/>
          <w:u w:val="single"/>
        </w:rPr>
        <w:t>ένα Αριστερό Ριζοσπαστικό Πρόγραμμα</w:t>
      </w:r>
    </w:p>
    <w:p w:rsidR="00F71ED4" w:rsidRDefault="00F71ED4" w:rsidP="00980DF5">
      <w:pPr>
        <w:pStyle w:val="Web"/>
        <w:spacing w:line="360" w:lineRule="auto"/>
        <w:jc w:val="both"/>
      </w:pPr>
      <w:r>
        <w:t>Ο</w:t>
      </w:r>
      <w:r w:rsidR="002C12A9">
        <w:t xml:space="preserve">δεύουμε σε μία νέα οξύτερη φάση της πολύπλευρης οικονομικής και κοινωνικής </w:t>
      </w:r>
      <w:r>
        <w:t xml:space="preserve">(υγειονομικής και περιβαλλοντικής) </w:t>
      </w:r>
      <w:r w:rsidR="002C12A9">
        <w:t xml:space="preserve">κρίσης που ξεκίνησε το 2008 </w:t>
      </w:r>
      <w:r>
        <w:t>με συνέπεια</w:t>
      </w:r>
      <w:r w:rsidR="002C12A9">
        <w:t xml:space="preserve"> οι κοινωνικές ανάγκες </w:t>
      </w:r>
      <w:r>
        <w:t xml:space="preserve">να </w:t>
      </w:r>
      <w:r w:rsidR="002C12A9">
        <w:t xml:space="preserve">αυξάνουν και μαζί τους </w:t>
      </w:r>
      <w:r>
        <w:t xml:space="preserve">να </w:t>
      </w:r>
      <w:r w:rsidR="002C12A9">
        <w:t>πληθαίνουν και οι προκλήσεις που καλείται να αντιμετωπίσει μία νέα κυβέρνηση της Αριστεράς</w:t>
      </w:r>
      <w:r>
        <w:t>. Στις συνθήκες αυτές</w:t>
      </w:r>
      <w:r w:rsidR="002C12A9">
        <w:t xml:space="preserve"> κρίνουμε απαραίτητη τη συμπλήρωση και ενίσχυση του Σχεδίου Προγράμματος με</w:t>
      </w:r>
      <w:r w:rsidR="003E5538">
        <w:t xml:space="preserve"> 13 </w:t>
      </w:r>
      <w:r>
        <w:t>πρόσθετα μέτρα και πολιτικές ικανές να συμβάλλουν ουσιαστικά στο όραμα μετασχηματισμού της κοινωνίας που ευαγγελίζεται ο ΣΥΡΙΖΑ-ΠΣ.</w:t>
      </w:r>
    </w:p>
    <w:p w:rsidR="00F71ED4" w:rsidRDefault="00F71ED4" w:rsidP="00980DF5">
      <w:pPr>
        <w:pStyle w:val="Web"/>
        <w:spacing w:line="360" w:lineRule="auto"/>
        <w:jc w:val="both"/>
      </w:pPr>
      <w:r>
        <w:t xml:space="preserve">Ασφαλώς τα νέα μέτρα χρειάζεται να είναι κοστολογημένα για να είναι και ρεαλιστικά. Όμως ένα </w:t>
      </w:r>
      <w:r w:rsidR="00D45B1D">
        <w:t>αριστερό</w:t>
      </w:r>
      <w:r>
        <w:t xml:space="preserve"> πρόγραμμα </w:t>
      </w:r>
      <w:r w:rsidR="00D45B1D">
        <w:t xml:space="preserve">ριζοσπαστικού </w:t>
      </w:r>
      <w:r>
        <w:t xml:space="preserve">μετασχηματισμού της πραγματικότητας δεν μπορεί να αυτοπεριορίζεται στις δημοσιονομικές συνθήκες που αυτή του υπαγορεύει κάθε φορά, αλλά να τις λαμβάνει υπόψη προκειμένου να </w:t>
      </w:r>
      <w:r w:rsidR="00A660C7">
        <w:t>τις διευρύνει και να τις φέρει στα μέτρα του μεταβάλλοντας υποκείμενες ισορροπίες και συσχετισμούς. Μόνο με παρ</w:t>
      </w:r>
      <w:r w:rsidR="00D45B1D">
        <w:t>όμοια λογική μπορεί το πρόγραμμά μας</w:t>
      </w:r>
      <w:r w:rsidR="00A660C7">
        <w:t xml:space="preserve"> να θέσει προτεραιότητες, να αποκτήσει δυναμική και να  κινητοποιήσει την κοινωνία στην υλοποίησή του. </w:t>
      </w:r>
    </w:p>
    <w:p w:rsidR="00980DF5" w:rsidRPr="00A52F2A" w:rsidRDefault="00A660C7" w:rsidP="00980DF5">
      <w:pPr>
        <w:pStyle w:val="Web"/>
        <w:spacing w:line="360" w:lineRule="auto"/>
        <w:jc w:val="both"/>
      </w:pPr>
      <w:r>
        <w:t xml:space="preserve">Συνεπώς, η κοστολόγηση δεν μπορεί παρά να είναι η αρχή κι όχι το τέλος της προγραμματικής επεξεργασίας. </w:t>
      </w:r>
      <w:r w:rsidR="00980DF5" w:rsidRPr="00A52F2A">
        <w:t xml:space="preserve">Με βάση αυτή τη θεώρηση, </w:t>
      </w:r>
      <w:r>
        <w:t xml:space="preserve">από το ευρύτερο πλαίσιο των 30 προτάσεων που είχαμε καταθέσει στην Συνδιάσκεψη των Νομαρχιακών (και τα οποία δυστυχώς δεν συζητήθηκαν παρά ελάχιστα τότε) καταλήγουμε σήμερα μετά από πρόσθετη επεξεργασία και </w:t>
      </w:r>
      <w:r w:rsidR="00980DF5" w:rsidRPr="00A52F2A">
        <w:t xml:space="preserve">προτείνουμε </w:t>
      </w:r>
      <w:r w:rsidR="00D45B1D">
        <w:t>1</w:t>
      </w:r>
      <w:r w:rsidR="003E5538">
        <w:t>3</w:t>
      </w:r>
      <w:r w:rsidR="002C12A9">
        <w:t xml:space="preserve"> μέτρα</w:t>
      </w:r>
      <w:r w:rsidR="00980DF5" w:rsidRPr="00A52F2A">
        <w:t xml:space="preserve"> πολιτικής </w:t>
      </w:r>
      <w:r w:rsidR="002C12A9">
        <w:t>συμπληρωματικά</w:t>
      </w:r>
      <w:r w:rsidR="00980DF5" w:rsidRPr="00A52F2A">
        <w:t xml:space="preserve"> σε αυτά του Σχεδίου Προγράμματος</w:t>
      </w:r>
      <w:r w:rsidR="002C12A9">
        <w:t xml:space="preserve"> και των </w:t>
      </w:r>
      <w:r>
        <w:t xml:space="preserve">21 </w:t>
      </w:r>
      <w:r w:rsidR="002C12A9">
        <w:t>προτάσεων του σ. Τσακαλώτου</w:t>
      </w:r>
      <w:r w:rsidR="00980DF5" w:rsidRPr="00A52F2A">
        <w:t>:</w:t>
      </w:r>
    </w:p>
    <w:p w:rsidR="00980DF5" w:rsidRPr="0040006A" w:rsidRDefault="00980DF5" w:rsidP="00980DF5">
      <w:pPr>
        <w:pStyle w:val="Web"/>
        <w:numPr>
          <w:ilvl w:val="0"/>
          <w:numId w:val="1"/>
        </w:numPr>
        <w:spacing w:line="360" w:lineRule="auto"/>
        <w:jc w:val="both"/>
      </w:pPr>
      <w:r w:rsidRPr="00A52F2A">
        <w:t xml:space="preserve">Επαναδιαπραγμάτευση για τη ρύθμιση και το μερικό κούρεμα του δημοσίου χρέους με πιθανή αναστολή πληρωμής τόκων. Το δημόσιο χρέος αποτελεί μείζονα περιορισμό σε μια χώρα που έχει εκχωρήσει την νομισματική της πολιτική.  Γι’ αυτό χρειάζεται και αμοιβαιοποίηση στην αναχρηματοδότηση (βλ ευρωπαϊκά και πράσινα ομόλογα) στα πλαίσια μιας συνολικής ευρωπαϊκής αναδιαπραγμάτευσης </w:t>
      </w:r>
      <w:r w:rsidR="00195A39">
        <w:t xml:space="preserve">για την αναθεώρηση του Συμφώνου Σταθερότητας, </w:t>
      </w:r>
      <w:r w:rsidRPr="00A52F2A">
        <w:t>ιδίως για τις χώρες του Νότου.</w:t>
      </w:r>
      <w:r w:rsidR="00195A39">
        <w:t xml:space="preserve"> </w:t>
      </w:r>
      <w:r w:rsidRPr="0040006A">
        <w:t xml:space="preserve">Το </w:t>
      </w:r>
      <w:r w:rsidRPr="00D45B1D">
        <w:t>όφελος</w:t>
      </w:r>
      <w:r w:rsidRPr="0040006A">
        <w:t xml:space="preserve"> μπορεί να φθάσει μέχρι και 6% του ΑΕΠ (περίπου </w:t>
      </w:r>
      <w:r w:rsidRPr="00D45B1D">
        <w:rPr>
          <w:b/>
        </w:rPr>
        <w:t>10 δις</w:t>
      </w:r>
      <w:r w:rsidRPr="0040006A">
        <w:t xml:space="preserve"> ευρώ σε τιμές 2020) ανάλογα με τη </w:t>
      </w:r>
      <w:r w:rsidRPr="0040006A">
        <w:lastRenderedPageBreak/>
        <w:t xml:space="preserve">ρύθμιση για την αλλαγή του κριτηρίου του χρέους και ελάφρυνσης πληρωμών για τόκους (βλέπε και ανάλυση </w:t>
      </w:r>
      <w:r w:rsidRPr="0040006A">
        <w:rPr>
          <w:lang w:val="en-US"/>
        </w:rPr>
        <w:t>ESM</w:t>
      </w:r>
      <w:r w:rsidRPr="0040006A">
        <w:t xml:space="preserve">).  </w:t>
      </w:r>
    </w:p>
    <w:p w:rsidR="00980DF5" w:rsidRDefault="004F569C" w:rsidP="00980DF5">
      <w:pPr>
        <w:pStyle w:val="Web"/>
        <w:spacing w:line="360" w:lineRule="auto"/>
        <w:jc w:val="both"/>
      </w:pPr>
      <w:hyperlink r:id="rId9" w:history="1">
        <w:r w:rsidR="00980DF5" w:rsidRPr="00557FE1">
          <w:rPr>
            <w:rStyle w:val="-"/>
          </w:rPr>
          <w:t>https://www.esm.europa.eu/publications/eu-fiscal-rules-reform-considerations</w:t>
        </w:r>
      </w:hyperlink>
    </w:p>
    <w:p w:rsidR="00980DF5" w:rsidRPr="0040006A" w:rsidRDefault="00980DF5" w:rsidP="00980DF5">
      <w:pPr>
        <w:pStyle w:val="Web"/>
        <w:numPr>
          <w:ilvl w:val="0"/>
          <w:numId w:val="1"/>
        </w:numPr>
        <w:spacing w:line="360" w:lineRule="auto"/>
        <w:jc w:val="both"/>
      </w:pPr>
      <w:r w:rsidRPr="00A52F2A">
        <w:t>Εξαίρεση των δημοσίων επενδύσεων από τον υπολογισμό του πρωτογενούς ισοζυγίου και διπλασιασμό τους εντός διετίας σαν ποσοστό του ΑΕΠ.</w:t>
      </w:r>
      <w:r w:rsidRPr="0040006A">
        <w:t xml:space="preserve">Το ποσοστό για το 2022 προβλέπεται στο 6,2% από το </w:t>
      </w:r>
      <w:r w:rsidRPr="0040006A">
        <w:rPr>
          <w:lang w:val="en-US"/>
        </w:rPr>
        <w:t>DraftBudgetaryPlan</w:t>
      </w:r>
      <w:r w:rsidRPr="0040006A">
        <w:t xml:space="preserve"> που κατατέθηκε στην Ε. Επιτροπή και περιλαμβάνει κονδύλια του </w:t>
      </w:r>
      <w:r w:rsidRPr="0040006A">
        <w:rPr>
          <w:lang w:val="en-US"/>
        </w:rPr>
        <w:t>RecoveryandResilienceFacility</w:t>
      </w:r>
      <w:r w:rsidRPr="0040006A">
        <w:t xml:space="preserve">. Ο διπλασιασμός του ποσοστού θα απαιτήσει περίπου </w:t>
      </w:r>
      <w:r w:rsidRPr="00D45B1D">
        <w:rPr>
          <w:b/>
        </w:rPr>
        <w:t>10 δις ευρώ</w:t>
      </w:r>
      <w:r w:rsidRPr="0040006A">
        <w:t>. Είναι εφικτός μόνο αν έχει επιτευχθεί η πρώτη πρόταση.</w:t>
      </w:r>
    </w:p>
    <w:p w:rsidR="00980DF5" w:rsidRPr="00357606" w:rsidRDefault="006A6C33" w:rsidP="00980DF5">
      <w:pPr>
        <w:pStyle w:val="Web"/>
        <w:numPr>
          <w:ilvl w:val="0"/>
          <w:numId w:val="1"/>
        </w:numPr>
        <w:spacing w:line="360" w:lineRule="auto"/>
        <w:jc w:val="both"/>
      </w:pPr>
      <w:r>
        <w:t>Μ</w:t>
      </w:r>
      <w:r w:rsidR="00980DF5" w:rsidRPr="00A52F2A">
        <w:t>ερική διαγραφή των δανειακών υποχρεώσεων των υπερχρεωμένων νοικοκυριών, ανάλογα με την μείωση του εισοδήματος που έχουν υποστεί από τη σύναψη του δανείου μέχρι σήμερα.</w:t>
      </w:r>
      <w:r w:rsidR="0040006A">
        <w:t xml:space="preserve"> Με κριτήριο την κατά 20% μείωση των πραγματικών μισθών από το 2009 ως σήμερα</w:t>
      </w:r>
      <w:r w:rsidR="00FB32B5" w:rsidRPr="00FB32B5">
        <w:t xml:space="preserve"> </w:t>
      </w:r>
      <w:r w:rsidR="0040006A">
        <w:t>και με δεδομένο ότι τ</w:t>
      </w:r>
      <w:r w:rsidR="00980DF5" w:rsidRPr="0040006A">
        <w:t>ο συνολικό ιδιωτικό χρέος εκτιμάται στο 125% του ΑΕΠ για τ</w:t>
      </w:r>
      <w:r w:rsidR="0040006A">
        <w:t>ο 2020 (βλέπε σύνδεσμο της ΕΕ), δ</w:t>
      </w:r>
      <w:r w:rsidR="00980DF5" w:rsidRPr="0040006A">
        <w:t>ηλαδή περίπου 200 δις ευρώ</w:t>
      </w:r>
      <w:r w:rsidR="0040006A">
        <w:t>, ενώ</w:t>
      </w:r>
      <w:r w:rsidR="00980DF5" w:rsidRPr="0040006A">
        <w:t xml:space="preserve"> τα υπερχρεωμένα νοικοκυριά είναι 30%, το ποσό της διαγραφής </w:t>
      </w:r>
      <w:r w:rsidR="0040006A">
        <w:t>δεν θα υπερβεί τα 12</w:t>
      </w:r>
      <w:r w:rsidR="00980DF5" w:rsidRPr="0040006A">
        <w:t xml:space="preserve"> δις ευρώ. </w:t>
      </w:r>
      <w:r w:rsidR="0040006A">
        <w:t xml:space="preserve">Σημαντικό </w:t>
      </w:r>
      <w:r w:rsidR="00980DF5" w:rsidRPr="0040006A">
        <w:t xml:space="preserve">ποσό </w:t>
      </w:r>
      <w:r w:rsidR="0040006A">
        <w:t>που όμως οι</w:t>
      </w:r>
      <w:r w:rsidR="00980DF5" w:rsidRPr="0040006A">
        <w:t xml:space="preserve"> τράπεζες</w:t>
      </w:r>
      <w:r w:rsidR="0040006A">
        <w:t xml:space="preserve"> μπορούν να απορροφήσουν σταδιακά</w:t>
      </w:r>
      <w:r w:rsidR="00980DF5" w:rsidRPr="0040006A">
        <w:t xml:space="preserve">, </w:t>
      </w:r>
      <w:r w:rsidR="00D45B1D">
        <w:t xml:space="preserve">όπως ήδη κάνουν με τα κόκκινα δάνεια, </w:t>
      </w:r>
      <w:r w:rsidR="0040006A">
        <w:t>χωρίς να επιβαρύνουν σοβαρά</w:t>
      </w:r>
      <w:r w:rsidR="00980DF5" w:rsidRPr="0040006A">
        <w:t xml:space="preserve"> τη λειτουργία του χρηματοπιστωτικού συστήματος για την οικονομία. </w:t>
      </w:r>
      <w:hyperlink r:id="rId10" w:history="1">
        <w:r w:rsidR="00980DF5" w:rsidRPr="007C0126">
          <w:rPr>
            <w:rStyle w:val="-"/>
            <w:lang w:val="en-US"/>
          </w:rPr>
          <w:t>https</w:t>
        </w:r>
        <w:r w:rsidR="00980DF5" w:rsidRPr="00357606">
          <w:rPr>
            <w:rStyle w:val="-"/>
          </w:rPr>
          <w:t>://</w:t>
        </w:r>
        <w:r w:rsidR="00980DF5" w:rsidRPr="007C0126">
          <w:rPr>
            <w:rStyle w:val="-"/>
            <w:lang w:val="en-US"/>
          </w:rPr>
          <w:t>ec</w:t>
        </w:r>
        <w:r w:rsidR="00980DF5" w:rsidRPr="00357606">
          <w:rPr>
            <w:rStyle w:val="-"/>
          </w:rPr>
          <w:t>.</w:t>
        </w:r>
        <w:r w:rsidR="00980DF5" w:rsidRPr="007C0126">
          <w:rPr>
            <w:rStyle w:val="-"/>
            <w:lang w:val="en-US"/>
          </w:rPr>
          <w:t>europa</w:t>
        </w:r>
        <w:r w:rsidR="00980DF5" w:rsidRPr="00357606">
          <w:rPr>
            <w:rStyle w:val="-"/>
          </w:rPr>
          <w:t>.</w:t>
        </w:r>
        <w:r w:rsidR="00980DF5" w:rsidRPr="007C0126">
          <w:rPr>
            <w:rStyle w:val="-"/>
            <w:lang w:val="en-US"/>
          </w:rPr>
          <w:t>eu</w:t>
        </w:r>
        <w:r w:rsidR="00980DF5" w:rsidRPr="00357606">
          <w:rPr>
            <w:rStyle w:val="-"/>
          </w:rPr>
          <w:t>/</w:t>
        </w:r>
        <w:r w:rsidR="00980DF5" w:rsidRPr="007C0126">
          <w:rPr>
            <w:rStyle w:val="-"/>
            <w:lang w:val="en-US"/>
          </w:rPr>
          <w:t>eurostat</w:t>
        </w:r>
        <w:r w:rsidR="00980DF5" w:rsidRPr="00357606">
          <w:rPr>
            <w:rStyle w:val="-"/>
          </w:rPr>
          <w:t>/</w:t>
        </w:r>
        <w:r w:rsidR="00980DF5" w:rsidRPr="007C0126">
          <w:rPr>
            <w:rStyle w:val="-"/>
            <w:lang w:val="en-US"/>
          </w:rPr>
          <w:t>web</w:t>
        </w:r>
        <w:r w:rsidR="00980DF5" w:rsidRPr="00357606">
          <w:rPr>
            <w:rStyle w:val="-"/>
          </w:rPr>
          <w:t>/</w:t>
        </w:r>
        <w:r w:rsidR="00980DF5" w:rsidRPr="007C0126">
          <w:rPr>
            <w:rStyle w:val="-"/>
            <w:lang w:val="en-US"/>
          </w:rPr>
          <w:t>macroeconomic</w:t>
        </w:r>
        <w:r w:rsidR="00980DF5" w:rsidRPr="00357606">
          <w:rPr>
            <w:rStyle w:val="-"/>
          </w:rPr>
          <w:t>-</w:t>
        </w:r>
        <w:r w:rsidR="00980DF5" w:rsidRPr="007C0126">
          <w:rPr>
            <w:rStyle w:val="-"/>
            <w:lang w:val="en-US"/>
          </w:rPr>
          <w:t>imbalances</w:t>
        </w:r>
        <w:r w:rsidR="00980DF5" w:rsidRPr="00357606">
          <w:rPr>
            <w:rStyle w:val="-"/>
          </w:rPr>
          <w:t>-</w:t>
        </w:r>
        <w:r w:rsidR="00980DF5" w:rsidRPr="007C0126">
          <w:rPr>
            <w:rStyle w:val="-"/>
            <w:lang w:val="en-US"/>
          </w:rPr>
          <w:t>procedure</w:t>
        </w:r>
        <w:r w:rsidR="00980DF5" w:rsidRPr="00357606">
          <w:rPr>
            <w:rStyle w:val="-"/>
          </w:rPr>
          <w:t>/</w:t>
        </w:r>
        <w:r w:rsidR="00980DF5" w:rsidRPr="007C0126">
          <w:rPr>
            <w:rStyle w:val="-"/>
            <w:lang w:val="en-US"/>
          </w:rPr>
          <w:t>data</w:t>
        </w:r>
        <w:r w:rsidR="00980DF5" w:rsidRPr="00357606">
          <w:rPr>
            <w:rStyle w:val="-"/>
          </w:rPr>
          <w:t>/</w:t>
        </w:r>
        <w:r w:rsidR="00980DF5" w:rsidRPr="007C0126">
          <w:rPr>
            <w:rStyle w:val="-"/>
            <w:lang w:val="en-US"/>
          </w:rPr>
          <w:t>scoreboard</w:t>
        </w:r>
      </w:hyperlink>
    </w:p>
    <w:p w:rsidR="003D1581" w:rsidRPr="003D1581" w:rsidRDefault="00980DF5" w:rsidP="009F7A22">
      <w:pPr>
        <w:pStyle w:val="Web"/>
        <w:numPr>
          <w:ilvl w:val="0"/>
          <w:numId w:val="1"/>
        </w:numPr>
        <w:spacing w:line="360" w:lineRule="auto"/>
        <w:ind w:left="357"/>
        <w:jc w:val="both"/>
        <w:rPr>
          <w:highlight w:val="yellow"/>
        </w:rPr>
      </w:pPr>
      <w:r w:rsidRPr="00E96756">
        <w:t>Δημόσιος έλεγχος με συμμετοχή των εργαζομένων στις τράπεζες. Επειδή η</w:t>
      </w:r>
      <w:r w:rsidRPr="00A52F2A">
        <w:t xml:space="preserve"> Αναπτυξιακή Τράπεζα και οι μικροπιστώσεις δεν επαρκούν για την άσκηση ενεργητικής χρηματοδοτικής πολιτικής προσανατολισμού των επενδύσεων σε επιλεγμένες δραστηριότητες και κλάδους του νέου πράσινου παραγωγικού υποδείγματος, προτείνεται </w:t>
      </w:r>
      <w:r w:rsidR="00FA6D33">
        <w:t xml:space="preserve">ο δημόσιος έλεγχος της ΕΤΕ μέσω δ.σ. (εφόσον το δημόσιο εξακολουθεί να κατέχει το 42% των μετοχών) και </w:t>
      </w:r>
      <w:r w:rsidR="00E96756">
        <w:t xml:space="preserve">είτε η δημιουργία μιας κρατικής συνεταιριστικής τράπεζας, είτε </w:t>
      </w:r>
      <w:r w:rsidRPr="00A52F2A">
        <w:t xml:space="preserve">η κρατικοποίηση </w:t>
      </w:r>
      <w:r w:rsidR="00FA6D33">
        <w:t xml:space="preserve">μιας </w:t>
      </w:r>
      <w:r w:rsidR="00E96756">
        <w:t>υφιστάμενης</w:t>
      </w:r>
      <w:r w:rsidR="00FB32B5" w:rsidRPr="00FB32B5">
        <w:t xml:space="preserve"> </w:t>
      </w:r>
      <w:r w:rsidR="00E96756">
        <w:t>που υπολειτουργεί, ενέργεια</w:t>
      </w:r>
      <w:r w:rsidR="00FA6D33">
        <w:t xml:space="preserve"> της οποίας το κόστος δεν είναι μεγάλο.</w:t>
      </w:r>
      <w:r w:rsidR="00FB32B5" w:rsidRPr="00FB32B5">
        <w:t xml:space="preserve"> </w:t>
      </w:r>
      <w:r w:rsidR="00D45B1D">
        <w:t>Σε περίπτωση που στο μεταξύ πωληθεί το 42% θα πρέπει το μερίδιο του δημοσίου να ανακτηθεί στο ισόποσο</w:t>
      </w:r>
      <w:r w:rsidR="008A4B16">
        <w:t xml:space="preserve"> (τρέχουσα κεφαλαιοποίηση ΕΤΕ 2,6 δις)</w:t>
      </w:r>
      <w:r w:rsidR="00D45B1D">
        <w:t>.</w:t>
      </w:r>
    </w:p>
    <w:p w:rsidR="00DA18E1" w:rsidRPr="00CD0E33" w:rsidRDefault="00A63B54" w:rsidP="009F7A22">
      <w:pPr>
        <w:pStyle w:val="Web"/>
        <w:numPr>
          <w:ilvl w:val="0"/>
          <w:numId w:val="1"/>
        </w:numPr>
        <w:spacing w:line="360" w:lineRule="auto"/>
        <w:ind w:left="357"/>
        <w:jc w:val="both"/>
      </w:pPr>
      <w:r w:rsidRPr="00171824">
        <w:lastRenderedPageBreak/>
        <w:t>Ανασυγκρότηση-Διαχείριση Κοινωνικών αγαθών</w:t>
      </w:r>
      <w:r>
        <w:t xml:space="preserve"> &amp;</w:t>
      </w:r>
      <w:r w:rsidRPr="00A63B54">
        <w:t xml:space="preserve"> </w:t>
      </w:r>
      <w:r w:rsidRPr="00A52F2A">
        <w:t>Απο-ιδιωτικοποιήσεις</w:t>
      </w:r>
      <w:r w:rsidRPr="00171824">
        <w:t xml:space="preserve">. Η ανασυγκρότηση και διαχείριση κοινωνικών </w:t>
      </w:r>
      <w:r>
        <w:t>αγαθών όπως η ενέργεια, το νερό και οι</w:t>
      </w:r>
      <w:r w:rsidRPr="00171824">
        <w:t xml:space="preserve"> αστικές συγκοινωνίες</w:t>
      </w:r>
      <w:r>
        <w:t xml:space="preserve"> όπου οι κοινωνικές ανάγκες προέχουν της κερδοφορίας</w:t>
      </w:r>
      <w:r w:rsidRPr="00171824">
        <w:t>, αλλά και</w:t>
      </w:r>
      <w:r>
        <w:t xml:space="preserve"> η</w:t>
      </w:r>
      <w:r w:rsidRPr="00171824">
        <w:t xml:space="preserve"> εκμετάλλευση αδρανών στοιχείων </w:t>
      </w:r>
      <w:r>
        <w:t xml:space="preserve">του </w:t>
      </w:r>
      <w:r w:rsidRPr="00171824">
        <w:t xml:space="preserve">ενεργητικού </w:t>
      </w:r>
      <w:r>
        <w:t xml:space="preserve">στρατηγικών επιχειρήσεων </w:t>
      </w:r>
      <w:r w:rsidRPr="00171824">
        <w:t>που έχουν πτωχεύσει εξ’ αιτίας</w:t>
      </w:r>
      <w:r>
        <w:t xml:space="preserve"> της κακής διαχείρισης από τον ιδιωτικό τομέα</w:t>
      </w:r>
      <w:r w:rsidRPr="00171824">
        <w:t>,</w:t>
      </w:r>
      <w:r>
        <w:t xml:space="preserve"> </w:t>
      </w:r>
      <w:r w:rsidRPr="00171824">
        <w:t xml:space="preserve">αποτελούν υποχρέωση και προτεραιότητα για μία σύγχρονη Αριστερή Κυβέρνηση. Επειδή η ανάκτηση από το Δημόσιο όσων επιχειρηματικών δραστηριοτήτων αφορούν δημόσια αγαθά (υγεία, νερό, ρεύμα, μεταφορές, τηλεπικοινωνίες) δεν εξασφαλίζει μονοσήμαντα τον κοινωνικό έλεγχο αυτών των δραστηριοτήτων, αλλά κυρίως γιατί η ανάκτηση τους εν τω συνόλω σήμερα, απαιτεί πολύ υψηλό δημοσιονομικό κόστος που θα πληρώσουν οι φορολογούμενοι, προτείνουμε να επικεντρωθούμε στην ανάκτηση καταρχάς του δημοσίου ελέγχου της ΔΕΔΔΗΕ με αφορμή και την πρόσφατη ενεργειακή κρίση. Το δημόσιο απλώς θα επιστρέψει το τίμημα της πώλησης των </w:t>
      </w:r>
      <w:r w:rsidRPr="00171824">
        <w:rPr>
          <w:b/>
        </w:rPr>
        <w:t>2,1 δις</w:t>
      </w:r>
      <w:r w:rsidRPr="00171824">
        <w:t xml:space="preserve"> ευρώ στην εταιρία που αγόρασε το 49% των μετοχών της ΔΕΔΔΗΕ. Η ανάκτηση αναμένεται να αποσβεστεί εντός τριετίας από τα κέρδη του φορέα, </w:t>
      </w:r>
      <w:r w:rsidR="007429EB">
        <w:t xml:space="preserve">ενώ </w:t>
      </w:r>
      <w:r w:rsidR="002D1181">
        <w:t xml:space="preserve">στο δ.σ. </w:t>
      </w:r>
      <w:r>
        <w:t xml:space="preserve">των επιχειρήσεων κοινής  ωφέλειας </w:t>
      </w:r>
      <w:r w:rsidR="002D1181">
        <w:t>θα πρέπει εφεξής να συμμετέχουν οι εργαζόμενοι κατά το 1/3 (βλ νορβηγικό και γαλλικό μοντέλο)</w:t>
      </w:r>
      <w:r w:rsidR="007429EB">
        <w:t>.</w:t>
      </w:r>
      <w:r w:rsidR="000917B6">
        <w:t xml:space="preserve"> Αντίστοιχα το </w:t>
      </w:r>
      <w:r>
        <w:t>Ε</w:t>
      </w:r>
      <w:r w:rsidR="000917B6" w:rsidRPr="000C6601">
        <w:t xml:space="preserve">λληνικό </w:t>
      </w:r>
      <w:r w:rsidR="003F58B3" w:rsidRPr="000C6601">
        <w:t>Δ</w:t>
      </w:r>
      <w:r w:rsidR="000917B6" w:rsidRPr="000C6601">
        <w:t>ημόσιο</w:t>
      </w:r>
      <w:r w:rsidR="000917B6">
        <w:t xml:space="preserve"> </w:t>
      </w:r>
      <w:r>
        <w:t xml:space="preserve">(Ε.Δ.) </w:t>
      </w:r>
      <w:r w:rsidR="000917B6">
        <w:t>πρέπει να πράξει</w:t>
      </w:r>
      <w:r w:rsidR="003F58B3" w:rsidRPr="00CD0E33">
        <w:t xml:space="preserve"> για όλες τις εταιρίες</w:t>
      </w:r>
      <w:r w:rsidR="000964A6" w:rsidRPr="00CD0E33">
        <w:t xml:space="preserve"> στρατηγικού χαρακτήρα</w:t>
      </w:r>
      <w:r w:rsidR="009F7A22" w:rsidRPr="00CD0E33">
        <w:t>,</w:t>
      </w:r>
      <w:r w:rsidR="000917B6">
        <w:t xml:space="preserve"> ιδιωτικές ή δ</w:t>
      </w:r>
      <w:r w:rsidR="000964A6" w:rsidRPr="00CD0E33">
        <w:t>ημόσιες</w:t>
      </w:r>
      <w:r w:rsidR="009F7A22" w:rsidRPr="00CD0E33">
        <w:t>,</w:t>
      </w:r>
      <w:r w:rsidR="000964A6" w:rsidRPr="00CD0E33">
        <w:t xml:space="preserve"> που έχουν αναστείλει </w:t>
      </w:r>
      <w:r w:rsidR="0030074E" w:rsidRPr="00CD0E33">
        <w:t xml:space="preserve">πλήρως ή μερικώς </w:t>
      </w:r>
      <w:r w:rsidR="000964A6" w:rsidRPr="00CD0E33">
        <w:t>την λειτουργία τους</w:t>
      </w:r>
      <w:r w:rsidR="009F7A22" w:rsidRPr="00CD0E33">
        <w:t xml:space="preserve"> ή έχουν κηρυχθεί σε πτώχευση</w:t>
      </w:r>
      <w:r w:rsidR="000964A6" w:rsidRPr="00CD0E33">
        <w:t xml:space="preserve"> και στις οποίες κατέχει θέση είτε προνομιακού πιστωτή</w:t>
      </w:r>
      <w:r w:rsidR="0062249F" w:rsidRPr="00CD0E33">
        <w:t xml:space="preserve"> (ΕΦΚΑ, Ε.Δ</w:t>
      </w:r>
      <w:r>
        <w:t>.</w:t>
      </w:r>
      <w:r w:rsidR="0062249F" w:rsidRPr="00CD0E33">
        <w:t>)</w:t>
      </w:r>
      <w:r w:rsidR="000964A6" w:rsidRPr="00CD0E33">
        <w:t xml:space="preserve"> είτε βασικού μετόχου </w:t>
      </w:r>
      <w:r w:rsidR="009F7A22" w:rsidRPr="00CD0E33">
        <w:t>(</w:t>
      </w:r>
      <w:r w:rsidR="000964A6" w:rsidRPr="00CD0E33">
        <w:t>βλέπε</w:t>
      </w:r>
      <w:r w:rsidR="009F7A22" w:rsidRPr="00CD0E33">
        <w:t xml:space="preserve"> ε</w:t>
      </w:r>
      <w:r w:rsidR="0030074E" w:rsidRPr="00CD0E33">
        <w:t>νδεικτικά</w:t>
      </w:r>
      <w:r w:rsidR="000917B6">
        <w:t xml:space="preserve"> ΛΑΡΚΟ, </w:t>
      </w:r>
      <w:r w:rsidR="000964A6" w:rsidRPr="00CD0E33">
        <w:t>ΠΕΤΖΕΤΑΚΙΣ,</w:t>
      </w:r>
      <w:r>
        <w:t xml:space="preserve"> </w:t>
      </w:r>
      <w:r w:rsidR="000964A6" w:rsidRPr="00CD0E33">
        <w:t>ΕΝΩΜΕΝΗ</w:t>
      </w:r>
      <w:r>
        <w:t xml:space="preserve"> </w:t>
      </w:r>
      <w:r w:rsidR="0030074E" w:rsidRPr="00CD0E33">
        <w:t>Κ</w:t>
      </w:r>
      <w:r w:rsidR="000964A6" w:rsidRPr="00CD0E33">
        <w:t>ΛΩΣΤΟΥΦΑΝΤΟΥΡΓΙΑ,</w:t>
      </w:r>
      <w:r>
        <w:t xml:space="preserve"> </w:t>
      </w:r>
      <w:r w:rsidR="000964A6" w:rsidRPr="00CD0E33">
        <w:t>Ναυπηγεία</w:t>
      </w:r>
      <w:r w:rsidR="0030074E" w:rsidRPr="00CD0E33">
        <w:t>, ΕΛΒΟ)</w:t>
      </w:r>
      <w:r w:rsidR="000917B6">
        <w:t xml:space="preserve"> εξασκώντας</w:t>
      </w:r>
      <w:r w:rsidR="009F7A22" w:rsidRPr="00CD0E33">
        <w:t xml:space="preserve"> τα προνόμια που του δίνει η υπάρχουσα νομοθεσία</w:t>
      </w:r>
      <w:r w:rsidR="00853428">
        <w:rPr>
          <w:rStyle w:val="ac"/>
        </w:rPr>
        <w:endnoteReference w:id="1"/>
      </w:r>
      <w:r w:rsidR="009F7A22" w:rsidRPr="00CD0E33">
        <w:t xml:space="preserve"> μέσω:</w:t>
      </w:r>
    </w:p>
    <w:p w:rsidR="007152AE" w:rsidRDefault="009F7A22" w:rsidP="00E918F2">
      <w:pPr>
        <w:pStyle w:val="Web"/>
        <w:numPr>
          <w:ilvl w:val="0"/>
          <w:numId w:val="4"/>
        </w:numPr>
        <w:spacing w:line="360" w:lineRule="auto"/>
        <w:jc w:val="both"/>
      </w:pPr>
      <w:r w:rsidRPr="00CD0E33">
        <w:t xml:space="preserve">Της </w:t>
      </w:r>
      <w:r w:rsidR="0033584C" w:rsidRPr="00CD0E33">
        <w:t xml:space="preserve">αίτησης διαμόρφωσης σχεδίου αναδιάρθρωσης (μέσω του </w:t>
      </w:r>
      <w:r w:rsidR="0033584C" w:rsidRPr="007152AE">
        <w:t>πτωχευτικού νόμου</w:t>
      </w:r>
      <w:r w:rsidR="0033584C" w:rsidRPr="00CD0E33">
        <w:t xml:space="preserve"> για τις πτωχευμένες) από πιστωτές</w:t>
      </w:r>
      <w:r w:rsidR="0062249F" w:rsidRPr="00CD0E33">
        <w:t>. Βασικό στοιχείο του σχεδίου αναδιάρθρωσης θα είναι η μετοχοποίηση χρεών των πιστωτών με αποτέλεσμα την επαναδραστηριοποίηση της εταιρίας υπό νέα διοίκηση που θα ορίσουν οι νέοι μέτοχοι μετά την μετοχοποίηση χρεών. Στην περίπτωση που και πρώην εργαζόμενοι ενέχουν θέση πιστωτή</w:t>
      </w:r>
      <w:r w:rsidR="00885F5F">
        <w:t xml:space="preserve"> (</w:t>
      </w:r>
      <w:r w:rsidR="00885F5F" w:rsidRPr="007152AE">
        <w:t xml:space="preserve">λόγω </w:t>
      </w:r>
      <w:r w:rsidR="007152AE">
        <w:t>μη καταβεβλημένων</w:t>
      </w:r>
      <w:r w:rsidR="00885F5F" w:rsidRPr="007152AE">
        <w:t xml:space="preserve"> μισθών</w:t>
      </w:r>
      <w:r w:rsidR="00885F5F">
        <w:t>)</w:t>
      </w:r>
      <w:r w:rsidR="002C26D0" w:rsidRPr="00CD0E33">
        <w:t>,</w:t>
      </w:r>
      <w:r w:rsidR="0062249F" w:rsidRPr="00CD0E33">
        <w:t xml:space="preserve"> τότε και αυτοί συμμετέχουν ισότιμα στην αναδιάρθρωση.</w:t>
      </w:r>
      <w:r w:rsidR="00E918F2" w:rsidRPr="00E918F2">
        <w:t xml:space="preserve"> </w:t>
      </w:r>
      <w:r w:rsidR="00E918F2" w:rsidRPr="00171824">
        <w:t xml:space="preserve">Η μετοχοποίηση χρεών γίνεται υπό το πρίσμα του υπολογισμού των χρεών που θα πάρει κάποιος </w:t>
      </w:r>
      <w:r w:rsidR="00E918F2" w:rsidRPr="00171824">
        <w:lastRenderedPageBreak/>
        <w:t>πιστωτής στην πιθανή ρευστοποίηση της εταιρίας και όχι επί του συνόλου των χρεών.</w:t>
      </w:r>
      <w:r w:rsidR="0062249F" w:rsidRPr="00CD0E33">
        <w:t xml:space="preserve"> </w:t>
      </w:r>
    </w:p>
    <w:p w:rsidR="00E918F2" w:rsidRDefault="002C26D0" w:rsidP="00E918F2">
      <w:pPr>
        <w:pStyle w:val="Web"/>
        <w:numPr>
          <w:ilvl w:val="0"/>
          <w:numId w:val="4"/>
        </w:numPr>
        <w:spacing w:line="360" w:lineRule="auto"/>
        <w:jc w:val="both"/>
      </w:pPr>
      <w:r w:rsidRPr="00CD0E33">
        <w:t>Της αίτησης κατάθεσης επιχειρησιακού σχεδίου ανάπτυξης της εταιρίας (για τις μη πτωχευμένες αλλά δρώσες και πιθανώς κερδοφόρες</w:t>
      </w:r>
      <w:r w:rsidR="0090024D">
        <w:t>,</w:t>
      </w:r>
      <w:r w:rsidR="00FB32B5" w:rsidRPr="00FB32B5">
        <w:t xml:space="preserve"> </w:t>
      </w:r>
      <w:r w:rsidR="0090024D">
        <w:t>πχ</w:t>
      </w:r>
      <w:r w:rsidRPr="00CD0E33">
        <w:t xml:space="preserve"> ΔΕΗ) </w:t>
      </w:r>
      <w:r w:rsidRPr="00574A17">
        <w:t>υπό τα ν</w:t>
      </w:r>
      <w:r w:rsidR="0090024D" w:rsidRPr="00574A17">
        <w:t>έα δεδομένα που προσδιορίζει η δ</w:t>
      </w:r>
      <w:r w:rsidRPr="00574A17">
        <w:t>ιεθνής οικονομική κατάσταση (βλέπε Ταμείο Ανάκαμψης</w:t>
      </w:r>
      <w:r w:rsidR="0036580A" w:rsidRPr="00574A17">
        <w:t>, ενεργειακή κρίση)</w:t>
      </w:r>
      <w:r w:rsidR="0036580A" w:rsidRPr="00CD0E33">
        <w:t xml:space="preserve">.Η χρηματοδότηση του επιχειρησιακού σχεδίου ανάπτυξης θα απαιτήσει πρόσθετα κεφάλαια τα οποία θα προέλθουν από αύξηση κεφαλαίου με προτίμηση τους παλαιούς μετόχους. Στους παλαιούς μετόχους ανήκει </w:t>
      </w:r>
      <w:r w:rsidR="007152AE">
        <w:t>το ελληνικό Δημόσιο.</w:t>
      </w:r>
    </w:p>
    <w:p w:rsidR="00E918F2" w:rsidRPr="00CD0E33" w:rsidRDefault="00E918F2" w:rsidP="00E918F2">
      <w:pPr>
        <w:pStyle w:val="Web"/>
        <w:numPr>
          <w:ilvl w:val="0"/>
          <w:numId w:val="4"/>
        </w:numPr>
        <w:spacing w:line="360" w:lineRule="auto"/>
        <w:jc w:val="both"/>
      </w:pPr>
      <w:r w:rsidRPr="00171824">
        <w:t xml:space="preserve">Στην Διοίκηση των εταιριών που θα προκύψουν στην περίπτωση του σημείου </w:t>
      </w:r>
      <w:r w:rsidRPr="00E918F2">
        <w:rPr>
          <w:lang w:val="en-US"/>
        </w:rPr>
        <w:t>i</w:t>
      </w:r>
      <w:r w:rsidRPr="00171824">
        <w:t xml:space="preserve">  συμμετέχουν αυτοδικαίως οι εργαζόμενοι πιστωτές μέσω του συνεταιρισμού τους. Στην περίπτωση του σημείου </w:t>
      </w:r>
      <w:r w:rsidRPr="00E918F2">
        <w:rPr>
          <w:lang w:val="en-US"/>
        </w:rPr>
        <w:t>ii</w:t>
      </w:r>
      <w:r w:rsidRPr="00171824">
        <w:t xml:space="preserve">, στην Διοίκηση της εταιρίας θα συμμετέχουν και οι εργαζόμενοι μέσω των υποχρεώσεων που προσδιορίζει η Εταιρική Διακυβέρνηση.  </w:t>
      </w:r>
    </w:p>
    <w:p w:rsidR="001953C6" w:rsidRDefault="001953C6" w:rsidP="00980DF5">
      <w:pPr>
        <w:pStyle w:val="Web"/>
        <w:numPr>
          <w:ilvl w:val="0"/>
          <w:numId w:val="1"/>
        </w:numPr>
        <w:spacing w:line="360" w:lineRule="auto"/>
        <w:jc w:val="both"/>
        <w:rPr>
          <w:b/>
          <w:i/>
        </w:rPr>
      </w:pPr>
      <w:r>
        <w:t>Σταδιακή εντός 4ετίας α</w:t>
      </w:r>
      <w:r w:rsidR="00980DF5" w:rsidRPr="00A52F2A">
        <w:t xml:space="preserve">ύξηση των δημοσίων δαπανών για την υγεία από 5,3% του ΑΕΠ που ήταν το 2019 σε 7% - όπως ορθά ζητά το Σχέδιο Προγράμματος - που είναι ο μέσος όρος στην Ευρωζώνη (βάσει </w:t>
      </w:r>
      <w:r w:rsidR="00980DF5" w:rsidRPr="001953C6">
        <w:rPr>
          <w:lang w:val="en-GB"/>
        </w:rPr>
        <w:t>Eurostat</w:t>
      </w:r>
      <w:r w:rsidR="00980DF5" w:rsidRPr="00A52F2A">
        <w:t>).</w:t>
      </w:r>
      <w:r w:rsidR="00980DF5" w:rsidRPr="001953C6">
        <w:t xml:space="preserve">Κόστος περίπου </w:t>
      </w:r>
      <w:r w:rsidR="00980DF5" w:rsidRPr="00F86F02">
        <w:rPr>
          <w:b/>
        </w:rPr>
        <w:t>2,5 δις ευρώ</w:t>
      </w:r>
      <w:r w:rsidRPr="00F86F02">
        <w:rPr>
          <w:b/>
        </w:rPr>
        <w:t xml:space="preserve"> ή 650 εκατ. ετησίως</w:t>
      </w:r>
      <w:r>
        <w:t xml:space="preserve">. </w:t>
      </w:r>
      <w:r w:rsidR="00980DF5" w:rsidRPr="00A52F2A">
        <w:t>Παρομοίως αύξηση των δημοσίων δαπανών για την παιδεία</w:t>
      </w:r>
      <w:r w:rsidR="00853428">
        <w:rPr>
          <w:rStyle w:val="ac"/>
        </w:rPr>
        <w:endnoteReference w:id="2"/>
      </w:r>
      <w:r w:rsidR="00980DF5" w:rsidRPr="00A52F2A">
        <w:t xml:space="preserve"> από 4% του ΑΕΠ που ήταν το 2019  σε 4,5% που είναι ο μέσος όρος στην Ευρωζώνη (βάσει </w:t>
      </w:r>
      <w:r w:rsidR="00980DF5" w:rsidRPr="001953C6">
        <w:rPr>
          <w:lang w:val="en-GB"/>
        </w:rPr>
        <w:t>Eurostat</w:t>
      </w:r>
      <w:r w:rsidR="00980DF5" w:rsidRPr="00A52F2A">
        <w:t xml:space="preserve"> κι ενώ βάσει Προϋπολογισμού το 2020 ήταν 3,4%). </w:t>
      </w:r>
      <w:r w:rsidR="00980DF5" w:rsidRPr="001953C6">
        <w:t xml:space="preserve">Κόστος </w:t>
      </w:r>
      <w:r w:rsidRPr="00F86F02">
        <w:rPr>
          <w:b/>
        </w:rPr>
        <w:t>900 εκατ.</w:t>
      </w:r>
      <w:r w:rsidR="00980DF5" w:rsidRPr="00F86F02">
        <w:rPr>
          <w:b/>
        </w:rPr>
        <w:t xml:space="preserve"> ευρώ,</w:t>
      </w:r>
      <w:r w:rsidRPr="00F86F02">
        <w:rPr>
          <w:b/>
        </w:rPr>
        <w:t xml:space="preserve"> ή 225 εκατ ετησίως</w:t>
      </w:r>
      <w:r w:rsidR="00980DF5" w:rsidRPr="001953C6">
        <w:t>.</w:t>
      </w:r>
      <w:r w:rsidR="00FB32B5" w:rsidRPr="00FB32B5">
        <w:t xml:space="preserve"> </w:t>
      </w:r>
      <w:r w:rsidRPr="00F86F02">
        <w:rPr>
          <w:b/>
        </w:rPr>
        <w:t>Συνολικό ετήσι</w:t>
      </w:r>
      <w:r w:rsidR="008A4B16">
        <w:rPr>
          <w:b/>
        </w:rPr>
        <w:t>ο κόστος για υγεία και παιδεία 875εκατ.</w:t>
      </w:r>
      <w:r w:rsidRPr="00F86F02">
        <w:rPr>
          <w:b/>
        </w:rPr>
        <w:t xml:space="preserve"> ευρώ</w:t>
      </w:r>
      <w:r>
        <w:t xml:space="preserve">. </w:t>
      </w:r>
    </w:p>
    <w:p w:rsidR="00980DF5" w:rsidRPr="008E13FF" w:rsidRDefault="00980DF5" w:rsidP="00980DF5">
      <w:pPr>
        <w:pStyle w:val="Web"/>
        <w:numPr>
          <w:ilvl w:val="0"/>
          <w:numId w:val="1"/>
        </w:numPr>
        <w:spacing w:line="360" w:lineRule="auto"/>
        <w:jc w:val="both"/>
      </w:pPr>
      <w:r w:rsidRPr="00A52F2A">
        <w:t>Οι παραπάνω ενισχύσεις του κοινωνικού κράτους θα συνοδεύονται από ανάλογες προσαρμογές προς τα κάτω (σαν ποσοστό του ΑΕΠ το 2019) των δαπανών άμυνας (από 2% σε 1,2%), δημόσιας τάξης &amp; ασφάλειας (από 2,1% σε 1,7%) και γενικών δημοσίων υπηρεσιών (από 7,9% σε 5,8%) ώστε να στοιχηθούν και αυτές με τους αντίστοιχους μέσους όρους στην Ευρωζώνη.</w:t>
      </w:r>
      <w:r w:rsidR="00FB32B5" w:rsidRPr="00FB32B5">
        <w:t xml:space="preserve"> </w:t>
      </w:r>
      <w:r w:rsidRPr="00F86F02">
        <w:rPr>
          <w:b/>
        </w:rPr>
        <w:t>Συνολικό όφελος περίπου 5 δις ευρώ</w:t>
      </w:r>
      <w:r w:rsidRPr="008E13FF">
        <w:t xml:space="preserve"> (3,2% του ΑΕΠ) αλλά </w:t>
      </w:r>
      <w:r w:rsidR="008E13FF">
        <w:t>εξαιρετικά δύσκολη</w:t>
      </w:r>
      <w:r w:rsidRPr="008E13FF">
        <w:t xml:space="preserve"> κυρίως </w:t>
      </w:r>
      <w:r w:rsidR="008E13FF">
        <w:t>η περιστολή  των αμυντικών δαπανών, καθώς υ</w:t>
      </w:r>
      <w:r w:rsidRPr="008E13FF">
        <w:t>πάρχουν ήδη αγορές εξοπλισμού που δεσμεύουν τη χώρα</w:t>
      </w:r>
      <w:r w:rsidR="008E13FF">
        <w:t>,</w:t>
      </w:r>
      <w:r w:rsidRPr="008E13FF">
        <w:t xml:space="preserve"> ενώ</w:t>
      </w:r>
      <w:r w:rsidR="008E13FF">
        <w:t xml:space="preserve"> προϋποθέτει την επίλυση της ελληνοτουρκικής διένεξης</w:t>
      </w:r>
      <w:r w:rsidRPr="008E13FF">
        <w:t xml:space="preserve">.  </w:t>
      </w:r>
      <w:r w:rsidR="00766356" w:rsidRPr="00766356">
        <w:rPr>
          <w:b/>
        </w:rPr>
        <w:t>Χωρίς τη μείωση των αμυντικών δαπανών το όφελος ανέρχεται σε 3,5 δις</w:t>
      </w:r>
      <w:r w:rsidR="00766356">
        <w:t>.</w:t>
      </w:r>
    </w:p>
    <w:p w:rsidR="00F07C4F" w:rsidRPr="00D44622" w:rsidRDefault="00F07C4F" w:rsidP="00F07C4F">
      <w:pPr>
        <w:pStyle w:val="Web"/>
        <w:numPr>
          <w:ilvl w:val="0"/>
          <w:numId w:val="1"/>
        </w:numPr>
        <w:tabs>
          <w:tab w:val="clear" w:pos="720"/>
          <w:tab w:val="num" w:pos="502"/>
        </w:tabs>
        <w:spacing w:line="360" w:lineRule="auto"/>
        <w:ind w:left="502" w:hanging="357"/>
        <w:jc w:val="both"/>
      </w:pPr>
      <w:r w:rsidRPr="00D44622">
        <w:lastRenderedPageBreak/>
        <w:t>Μετασχηματισμός παραγωγικής Βάσης - Δημιουργία  θέσεων εργασίας μέσω:</w:t>
      </w:r>
    </w:p>
    <w:p w:rsidR="00F07C4F" w:rsidRPr="00D44622" w:rsidRDefault="00F07C4F" w:rsidP="00F07C4F">
      <w:pPr>
        <w:pStyle w:val="Web"/>
        <w:numPr>
          <w:ilvl w:val="0"/>
          <w:numId w:val="5"/>
        </w:numPr>
        <w:spacing w:line="360" w:lineRule="auto"/>
        <w:ind w:hanging="357"/>
        <w:jc w:val="both"/>
      </w:pPr>
      <w:r w:rsidRPr="00D44622">
        <w:t>Ανακατεύθυνσης των πόρων χρηματοδότησης της Οικονομίας με στόχο την αφομοίωση των αλλαγών που επιφέρει η ‘εποχή’ 4.0 . Η αξιοποίηση των δυνατοτήτων παραγωγής καινοτομίας των Ελ</w:t>
      </w:r>
      <w:r>
        <w:t>ληνικών  Δημόσιων Πανεπιστημίων</w:t>
      </w:r>
      <w:r w:rsidRPr="00D44622">
        <w:t xml:space="preserve">, σε συνδυασμό με την αποφασιστική στήριξη των ‘τεχνοβλαστών’ αποτελεί το πρώτο βήμα </w:t>
      </w:r>
      <w:r>
        <w:t>μας.</w:t>
      </w:r>
    </w:p>
    <w:p w:rsidR="00F07C4F" w:rsidRPr="00D44622" w:rsidRDefault="00F07C4F" w:rsidP="00F07C4F">
      <w:pPr>
        <w:pStyle w:val="Web"/>
        <w:numPr>
          <w:ilvl w:val="0"/>
          <w:numId w:val="5"/>
        </w:numPr>
        <w:spacing w:line="360" w:lineRule="auto"/>
        <w:ind w:hanging="357"/>
        <w:jc w:val="both"/>
      </w:pPr>
      <w:r w:rsidRPr="00D44622">
        <w:t xml:space="preserve">Ουσιαστικής στήριξης των συνεργατικών σχημάτων εργαζομένων, επιστημόνων, μικρών και πολύ μικρών επιχειρήσεων από την δημιουργία χρηματοδοτικών εργαλείων μέσω του Ταμείου Ανάκαμψης και Συνοχής, καθώς και με την αξιοποίηση αδρανών εγκαταστάσεων δυνητικής κυριότητας του Ε.Δ. Εκατοντάδες εγκαταστάσεις σε οργανωμένους χώρους υποδοχής επιχειρήσεων απομειώνουν την αξία τους όταν το Ε.Δ δεν αξιοποιεί τις δυνατότητες που του παρέχει το Πτωχευτικό Δίκαιο. Δεκάδες χιλιάδες άνεργοι πρώην εργαζόμενοι και νέοι επιστήμονες θα μπορούσαν να λειτουργήσουν κάποιες από αυτές τις εγκαταστάσεις μέσω συνεργατικών σχημάτων. Εμείς πιστεύουμε ότι έχει φτάσει η ώρα το Κράτος να εμπιστευθεί τους εργαζόμενους και την νέα γενιά.  </w:t>
      </w:r>
    </w:p>
    <w:p w:rsidR="00F07C4F" w:rsidRPr="00D44622" w:rsidRDefault="00F07C4F" w:rsidP="00F07C4F">
      <w:pPr>
        <w:pStyle w:val="Web"/>
        <w:numPr>
          <w:ilvl w:val="0"/>
          <w:numId w:val="5"/>
        </w:numPr>
        <w:spacing w:line="360" w:lineRule="auto"/>
        <w:ind w:hanging="357"/>
        <w:jc w:val="both"/>
      </w:pPr>
      <w:r>
        <w:t xml:space="preserve">Δημιουργία 200.000 θέσεων εργασίας μέσω </w:t>
      </w:r>
      <w:r w:rsidRPr="00D44622">
        <w:t xml:space="preserve">κρατικών προγραμμάτων εγγυημένης απασχόλησης και ανακατανομής υφισταμένων κοινοτικών πόρων που όχι μόνο θα τονώσουν τη ζήτηση και την οικονομική ανάπτυξη, αλλά θα συγκρατήσουν εργασιακά ζωντανούς στη χώρα τους νέους που δεν βρίσκουν εργασία. Οι 100.000 νέες θέσεις εργασίας θα απορροφήσουν τους περισσότερους νεολαίους άνεργους ηλικίας 20-30 ετών (18,5% της συνολικής ανεργίας), ενώ οι άλλες 100.000 θα αφορούν τους πιο φτωχούς και μακροχρόνια ανέργους ιδιαίτερα ηλικίας άνω των 50 ετών που δύσκολα βρίσκουν εργασία. Η κατεύθυνση των προγραμμάτων θα αφορά δραστηριότητες πράσινου ενεργειακού μετασχηματισμού και διασφάλισης περιβαλλοντικής προστασίας στο δημόσιο, και την ΤΑ ώστε να εντάσσεται στα προγράμματα των 18 δις επιχορηγήσεων του Ταμείου Ανάκαμψης. Το ακαθάριστο ετήσιο κόστος των παραπάνω προγραμμάτων είναι 2 δις ευρώ (200.000 * 10.000) που θα καλυφθεί από εθνικούς και ευρωπαϊκούς πόρους ή από ανακατανομή άλλων δαπανών. Το ετήσιο καθαρό κόστος προκύπτει αν αφαιρέσουμε το 30% των ασφαλιστικών εισφορών που θα επιστρέψει στο </w:t>
      </w:r>
      <w:r w:rsidRPr="00D44622">
        <w:lastRenderedPageBreak/>
        <w:t xml:space="preserve">ταμείο του Κράτους (γύρω στα 600 εκατ.) και από φόρους ύψους 300 εκατ. περίπου (από το 70% των 2 δις ή 1,4 δις το 20% θα είναι φόροι εισοδήματος). Άρα, το </w:t>
      </w:r>
      <w:r w:rsidRPr="00D44622">
        <w:rPr>
          <w:b/>
        </w:rPr>
        <w:t>καθαρό κόστος είναι 1,1 δις</w:t>
      </w:r>
      <w:r w:rsidRPr="00D44622">
        <w:t xml:space="preserve"> περίπου.</w:t>
      </w:r>
    </w:p>
    <w:p w:rsidR="00980DF5" w:rsidRPr="00556AE2" w:rsidRDefault="00F07C4F" w:rsidP="00F07C4F">
      <w:pPr>
        <w:pStyle w:val="Web"/>
        <w:numPr>
          <w:ilvl w:val="0"/>
          <w:numId w:val="5"/>
        </w:numPr>
        <w:spacing w:line="360" w:lineRule="auto"/>
        <w:ind w:hanging="357"/>
        <w:jc w:val="both"/>
      </w:pPr>
      <w:r w:rsidRPr="00D44622">
        <w:t>Επειδή τα προγράμματα εγγυημένης απασχόλησης έχουν πεπερασμένη διάρκεια, η αύξηση των μόνιμων θέσεων απασχόλησης θα επέλθει και από την εδραίωση του κλάδου της Κοινωνικής και Αλληλέγγυας οικονομίας που θα στηριχθεί με την θέσπιση χρηματοδοτικών εργαλείων που θα εδράζονται στην αξιοποίηση πόρων του Ταμείου Ανάκαμψης και Συνοχής. Για εμάς ο κλάδος της Κοινωνικής και Αλληλέγγυας Οικονομίας δεν αποτελεί συμπληρωματικό κλάδο αλλά βασικό εργαλείο ανάπτυξης της Οικονομίας όπως ήδη αυτό συμβαίνει σε χώρες όπως η Γαλλία.</w:t>
      </w:r>
    </w:p>
    <w:p w:rsidR="00EC572D" w:rsidRPr="00EC572D" w:rsidRDefault="00980DF5" w:rsidP="00980DF5">
      <w:pPr>
        <w:pStyle w:val="Web"/>
        <w:numPr>
          <w:ilvl w:val="0"/>
          <w:numId w:val="1"/>
        </w:numPr>
        <w:spacing w:line="360" w:lineRule="auto"/>
        <w:jc w:val="both"/>
        <w:rPr>
          <w:rFonts w:cstheme="minorHAnsi"/>
          <w:b/>
          <w:i/>
          <w:color w:val="000000" w:themeColor="text1"/>
        </w:rPr>
      </w:pPr>
      <w:r w:rsidRPr="00484254">
        <w:rPr>
          <w:rFonts w:cstheme="minorHAnsi"/>
          <w:color w:val="000000" w:themeColor="text1"/>
        </w:rPr>
        <w:t>Επίσης, σε μία περίοδο που για την καταπολέμηση της ανεργίας στην Ευρώπη συζητούν για μείωση/μοίρασμα του εργάσιμου χρόνου στις 32 ή και 30 ώρες εβδομαδιαίως, εμείς – αντί της πιλοτικής και με κρατική αποζημίωση στοχευμένης μείωσης του Σχεδίου Προγράμματος - μπορούμε και πρέπει να προχωρήσουμε στην μείωση των ωρών εργασίας χωρίς μείωση μισθών: (α) σε 35 ώρες στις μεσαίες και μεγάλες επιχειρήσεις οι οποίες συγκεντρώνουν τ</w:t>
      </w:r>
      <w:r w:rsidRPr="00484254">
        <w:rPr>
          <w:rFonts w:cstheme="minorHAnsi"/>
          <w:color w:val="000000" w:themeColor="text1"/>
          <w:lang w:val="en-GB"/>
        </w:rPr>
        <w:t>o</w:t>
      </w:r>
      <w:r w:rsidRPr="00484254">
        <w:rPr>
          <w:rFonts w:cstheme="minorHAnsi"/>
          <w:color w:val="000000" w:themeColor="text1"/>
        </w:rPr>
        <w:t xml:space="preserve"> 38% των απασχολουμένων και (β) σε 38 ώρες αντίστοιχα στις μικρές και πολύ μικρές επιχειρήσεις (με απασχόληση μικρότερη των 10 εργαζομένων) που συγκεντρώνουν το 62% του συνόλου των εργαζομένων. Πρόκειται για  μία μεσοσταθμική μείωση 7,8% των ωρών εργασίας που μπορεί να γίνει σταδιακά μέσα στην τετραετία ώστε να απορροφήσουν οι επιχειρήσεις πιο ομαλά το κόστος με τη βοήθεια και της αύξησης της παραγωγικότητας. Η μείωση αυτή είναι ικανή να αυξήσει την μισθωτή εργασία κατά 8,5%, δηλαδή να προσθέσει </w:t>
      </w:r>
      <w:r w:rsidR="0038338E">
        <w:rPr>
          <w:rFonts w:cstheme="minorHAnsi"/>
          <w:color w:val="000000" w:themeColor="text1"/>
        </w:rPr>
        <w:t>μέχρι και</w:t>
      </w:r>
      <w:r w:rsidRPr="00484254">
        <w:rPr>
          <w:rFonts w:cstheme="minorHAnsi"/>
          <w:color w:val="000000" w:themeColor="text1"/>
        </w:rPr>
        <w:t xml:space="preserve"> 2</w:t>
      </w:r>
      <w:r w:rsidR="0038338E">
        <w:rPr>
          <w:rFonts w:cstheme="minorHAnsi"/>
          <w:color w:val="000000" w:themeColor="text1"/>
        </w:rPr>
        <w:t>0</w:t>
      </w:r>
      <w:r w:rsidRPr="00484254">
        <w:rPr>
          <w:rFonts w:cstheme="minorHAnsi"/>
          <w:color w:val="000000" w:themeColor="text1"/>
        </w:rPr>
        <w:t>0.000 θέσεις εργασίας περίπου</w:t>
      </w:r>
      <w:r w:rsidR="0038338E">
        <w:rPr>
          <w:rFonts w:cstheme="minorHAnsi"/>
          <w:color w:val="000000" w:themeColor="text1"/>
        </w:rPr>
        <w:t xml:space="preserve"> (περίπτωση πλήρους αντικατάστασης μειωμένων ωρών εργασίας με νέο προσωπικό)</w:t>
      </w:r>
      <w:r w:rsidRPr="00484254">
        <w:rPr>
          <w:rFonts w:cstheme="minorHAnsi"/>
          <w:color w:val="000000" w:themeColor="text1"/>
        </w:rPr>
        <w:t xml:space="preserve">. Με τον τρόπο αυτό (προτάσεις </w:t>
      </w:r>
      <w:r w:rsidR="002A27F6">
        <w:rPr>
          <w:rFonts w:cstheme="minorHAnsi"/>
          <w:color w:val="000000" w:themeColor="text1"/>
        </w:rPr>
        <w:t>8</w:t>
      </w:r>
      <w:r w:rsidRPr="00484254">
        <w:rPr>
          <w:rFonts w:cstheme="minorHAnsi"/>
          <w:color w:val="000000" w:themeColor="text1"/>
        </w:rPr>
        <w:t xml:space="preserve"> και </w:t>
      </w:r>
      <w:r w:rsidR="002A27F6">
        <w:rPr>
          <w:rFonts w:cstheme="minorHAnsi"/>
          <w:color w:val="000000" w:themeColor="text1"/>
        </w:rPr>
        <w:t>9</w:t>
      </w:r>
      <w:r w:rsidRPr="00484254">
        <w:rPr>
          <w:rFonts w:cstheme="minorHAnsi"/>
          <w:color w:val="000000" w:themeColor="text1"/>
        </w:rPr>
        <w:t xml:space="preserve">) ο αριθμός των ανέργων είναι δυνατόν να μειωθεί κατά 50% </w:t>
      </w:r>
      <w:r w:rsidR="002A27F6">
        <w:rPr>
          <w:rFonts w:cstheme="minorHAnsi"/>
          <w:color w:val="000000" w:themeColor="text1"/>
        </w:rPr>
        <w:t>περίπου</w:t>
      </w:r>
      <w:r w:rsidRPr="00484254">
        <w:rPr>
          <w:rFonts w:cstheme="minorHAnsi"/>
          <w:color w:val="000000" w:themeColor="text1"/>
        </w:rPr>
        <w:t>.</w:t>
      </w:r>
      <w:r w:rsidR="002A27F6">
        <w:rPr>
          <w:rFonts w:cstheme="minorHAnsi"/>
          <w:color w:val="000000" w:themeColor="text1"/>
        </w:rPr>
        <w:t xml:space="preserve"> Το όποιο κόστος αφορά αποκλειστικά τον ιδιωτικό τομέα και θα εξαρτηθεί από την αύξηση της παραγωγικότητας</w:t>
      </w:r>
      <w:r w:rsidR="00FB1316">
        <w:rPr>
          <w:rFonts w:cstheme="minorHAnsi"/>
          <w:color w:val="000000" w:themeColor="text1"/>
        </w:rPr>
        <w:t xml:space="preserve"> εξαιτίας της βελτίωσης της φυσικής και ψυχικής κατάστασης των εργαζομένων</w:t>
      </w:r>
      <w:r w:rsidR="002A27F6">
        <w:rPr>
          <w:rFonts w:cstheme="minorHAnsi"/>
          <w:color w:val="000000" w:themeColor="text1"/>
        </w:rPr>
        <w:t>. Για το δημόσιο</w:t>
      </w:r>
      <w:r w:rsidR="00FB1316">
        <w:rPr>
          <w:rFonts w:cstheme="minorHAnsi"/>
          <w:color w:val="000000" w:themeColor="text1"/>
        </w:rPr>
        <w:t>,</w:t>
      </w:r>
      <w:r w:rsidR="002A27F6">
        <w:rPr>
          <w:rFonts w:cstheme="minorHAnsi"/>
          <w:color w:val="000000" w:themeColor="text1"/>
        </w:rPr>
        <w:t xml:space="preserve"> μόνο όφελος θα υπάρξει αφού όπως και πριν το 30% θα εισρεύσει ως ασφαλιστικές εισφορές στο κρατικό ταμείο, ενώ από το υπόλοιπο 70% των </w:t>
      </w:r>
      <w:r w:rsidR="002A27F6">
        <w:rPr>
          <w:rFonts w:cstheme="minorHAnsi"/>
          <w:color w:val="000000" w:themeColor="text1"/>
        </w:rPr>
        <w:lastRenderedPageBreak/>
        <w:t xml:space="preserve">αμοιβών το 20% θα εισρεύσει υπό μορφή φόρων </w:t>
      </w:r>
      <w:r w:rsidR="00FB1316">
        <w:rPr>
          <w:rFonts w:cstheme="minorHAnsi"/>
          <w:color w:val="000000" w:themeColor="text1"/>
        </w:rPr>
        <w:t>(ΦΠΑ, φόρου εισοδήματος)</w:t>
      </w:r>
      <w:r w:rsidR="002A27F6">
        <w:rPr>
          <w:rFonts w:cstheme="minorHAnsi"/>
          <w:color w:val="000000" w:themeColor="text1"/>
        </w:rPr>
        <w:t xml:space="preserve">. </w:t>
      </w:r>
      <w:r w:rsidR="002A27F6" w:rsidRPr="00F86F02">
        <w:rPr>
          <w:rFonts w:cstheme="minorHAnsi"/>
          <w:b/>
          <w:color w:val="000000" w:themeColor="text1"/>
        </w:rPr>
        <w:t>Συνολικό όφελος</w:t>
      </w:r>
      <w:r w:rsidR="00F86F02">
        <w:rPr>
          <w:rFonts w:cstheme="minorHAnsi"/>
          <w:b/>
          <w:color w:val="000000" w:themeColor="text1"/>
        </w:rPr>
        <w:t xml:space="preserve"> έως</w:t>
      </w:r>
      <w:r w:rsidR="002A27F6" w:rsidRPr="00F86F02">
        <w:rPr>
          <w:rFonts w:cstheme="minorHAnsi"/>
          <w:b/>
          <w:color w:val="000000" w:themeColor="text1"/>
        </w:rPr>
        <w:t xml:space="preserve"> 900 εκατ. ευρώ περίπου</w:t>
      </w:r>
      <w:r w:rsidR="002A27F6">
        <w:rPr>
          <w:rFonts w:cstheme="minorHAnsi"/>
          <w:color w:val="000000" w:themeColor="text1"/>
        </w:rPr>
        <w:t>.</w:t>
      </w:r>
    </w:p>
    <w:p w:rsidR="00980DF5" w:rsidRPr="009B2F2E" w:rsidRDefault="00980DF5" w:rsidP="00980DF5">
      <w:pPr>
        <w:pStyle w:val="Web"/>
        <w:numPr>
          <w:ilvl w:val="0"/>
          <w:numId w:val="1"/>
        </w:numPr>
        <w:spacing w:line="360" w:lineRule="auto"/>
        <w:jc w:val="both"/>
      </w:pPr>
      <w:r w:rsidRPr="00A52F2A">
        <w:t xml:space="preserve">Η ανισότητα στην φορολογία είναι στην Ελλάδα 72% υψηλότερη απ’ ότι στην ΕΕ27, αφού ο λόγος έμμεσων προς άμεσους φόρους είναι στην Ελλάδα 1,77 έναντι μόλις 1,03 στην ΕΕ27. Για τη μείωσή της χρειάζεται συνεπώς σταδιακή μείωση των φόρων κατανάλωσης </w:t>
      </w:r>
      <w:r w:rsidR="009B2F2E">
        <w:t xml:space="preserve">(από 24% σε 22%) </w:t>
      </w:r>
      <w:r w:rsidRPr="00A52F2A">
        <w:t>και ειδικότερα του ΦΠΑ</w:t>
      </w:r>
      <w:r w:rsidR="00204478">
        <w:t xml:space="preserve"> </w:t>
      </w:r>
      <w:r w:rsidR="00155CE2">
        <w:t>στα είδη διατροφής (απ</w:t>
      </w:r>
      <w:r w:rsidR="009B2F2E">
        <w:t>ό 13% σε 7</w:t>
      </w:r>
      <w:r w:rsidR="00C97131">
        <w:t>%)</w:t>
      </w:r>
      <w:r w:rsidRPr="00A52F2A">
        <w:t xml:space="preserve">. Επίσης </w:t>
      </w:r>
      <w:r w:rsidR="00155CE2">
        <w:t xml:space="preserve">μείωση </w:t>
      </w:r>
      <w:r w:rsidRPr="00A52F2A">
        <w:t xml:space="preserve">του ΕΝΦΙΑ </w:t>
      </w:r>
      <w:r w:rsidR="00C97131">
        <w:t>με</w:t>
      </w:r>
      <w:r w:rsidR="00204478">
        <w:t xml:space="preserve"> </w:t>
      </w:r>
      <w:r w:rsidR="00155CE2" w:rsidRPr="00A52F2A">
        <w:t xml:space="preserve">κατάργηση </w:t>
      </w:r>
      <w:r w:rsidRPr="00A52F2A">
        <w:t>του τεκμηρίου διαβίωσης για την 1</w:t>
      </w:r>
      <w:r w:rsidRPr="00484254">
        <w:rPr>
          <w:vertAlign w:val="superscript"/>
        </w:rPr>
        <w:t>η</w:t>
      </w:r>
      <w:r w:rsidRPr="00A52F2A">
        <w:t xml:space="preserve"> κατοικία.</w:t>
      </w:r>
      <w:r w:rsidR="00204478">
        <w:t xml:space="preserve"> </w:t>
      </w:r>
      <w:r w:rsidRPr="00F86F02">
        <w:rPr>
          <w:b/>
        </w:rPr>
        <w:t xml:space="preserve">Το κόστος </w:t>
      </w:r>
      <w:r w:rsidR="00C97131" w:rsidRPr="00F86F02">
        <w:rPr>
          <w:b/>
        </w:rPr>
        <w:t>μπορεί να κυμανθεί στο 1,5 δις</w:t>
      </w:r>
      <w:r w:rsidR="00C70AA5">
        <w:t xml:space="preserve"> κρίνοντας από το μέγεθος των εσόδων σε ΦΠΑ και ΕΝΦΙΑ</w:t>
      </w:r>
      <w:r w:rsidR="00525AA4">
        <w:t xml:space="preserve"> (ο οποίος θα πρέπει να μετατραπεί σε προοδευτικό φόρο περιουσίας όπως σε όλη την ΕΕ)</w:t>
      </w:r>
      <w:r w:rsidR="00C97131">
        <w:t xml:space="preserve">. </w:t>
      </w:r>
      <w:r w:rsidR="00C97131" w:rsidRPr="00F86F02">
        <w:rPr>
          <w:b/>
        </w:rPr>
        <w:t>Όμως η</w:t>
      </w:r>
      <w:r w:rsidRPr="00F86F02">
        <w:rPr>
          <w:b/>
        </w:rPr>
        <w:t xml:space="preserve"> μείωση των φόρων</w:t>
      </w:r>
      <w:r w:rsidR="00C97131" w:rsidRPr="00F86F02">
        <w:rPr>
          <w:b/>
        </w:rPr>
        <w:t xml:space="preserve"> αυτών μπορεί να αντισταθμιστεί</w:t>
      </w:r>
      <w:r w:rsidR="00C97131">
        <w:t xml:space="preserve"> από </w:t>
      </w:r>
      <w:r w:rsidR="00C70AA5">
        <w:t xml:space="preserve">(α) την αύξηση του </w:t>
      </w:r>
      <w:r w:rsidR="00C70AA5">
        <w:rPr>
          <w:color w:val="000000"/>
        </w:rPr>
        <w:t>ανώτατου φορολογικού συντελεστή</w:t>
      </w:r>
      <w:r w:rsidR="00C70AA5" w:rsidRPr="00A52F2A">
        <w:rPr>
          <w:color w:val="000000"/>
        </w:rPr>
        <w:t xml:space="preserve"> για το υψηλότερο 10% των εισοδημάτων</w:t>
      </w:r>
      <w:r w:rsidR="00204478">
        <w:rPr>
          <w:color w:val="000000"/>
        </w:rPr>
        <w:t xml:space="preserve"> </w:t>
      </w:r>
      <w:r w:rsidR="00C70AA5">
        <w:t>από 44% σε 50% και</w:t>
      </w:r>
      <w:r w:rsidR="00FB32B5" w:rsidRPr="004E4A0F">
        <w:t xml:space="preserve"> </w:t>
      </w:r>
      <w:r w:rsidR="00525AA4">
        <w:t>ταυτόχρονη ένταξη όλων των εισοδημάτων στην κλίμακα (όπως σε Γαλλία, Γερμανία κ.α.) και αύξηση των κλιμάκων και συντελεστών π.χ</w:t>
      </w:r>
      <w:r w:rsidR="00525AA4" w:rsidRPr="00B10042">
        <w:t>. 100.000, 500.000, 1</w:t>
      </w:r>
      <w:r w:rsidR="00525AA4">
        <w:t>εκ κλπ</w:t>
      </w:r>
      <w:r w:rsidR="003A7C5E">
        <w:t>,</w:t>
      </w:r>
      <w:r w:rsidR="00C70AA5">
        <w:t xml:space="preserve">(β) </w:t>
      </w:r>
      <w:r w:rsidR="00C97131">
        <w:t>την μείωση της φοροδιαφυγής στον ΦΠΑ (7,3 δις σύμφωνα με την ΕΕ το 2017</w:t>
      </w:r>
      <w:r w:rsidR="00E26BF0">
        <w:t xml:space="preserve"> επί συνόλου φοροδιαφυγής </w:t>
      </w:r>
      <w:r w:rsidR="00E26BF0" w:rsidRPr="00A52F2A">
        <w:rPr>
          <w:color w:val="000000" w:themeColor="text1"/>
        </w:rPr>
        <w:t>12-15 δι</w:t>
      </w:r>
      <w:r w:rsidR="00E26BF0">
        <w:rPr>
          <w:color w:val="000000" w:themeColor="text1"/>
        </w:rPr>
        <w:t>ς.</w:t>
      </w:r>
      <w:r w:rsidR="00C97131">
        <w:t xml:space="preserve">) </w:t>
      </w:r>
      <w:r w:rsidR="00C70AA5">
        <w:t>εφόσον</w:t>
      </w:r>
      <w:r w:rsidR="00C97131">
        <w:t xml:space="preserve"> ανιχνευτεί η πραγματική καταναλωτική δαπάνη με την διεύρυνση της χρήσης των ηλεκτρονικών συναλλαγών μέσω της μείωσης του ορίου </w:t>
      </w:r>
      <w:r w:rsidR="00C70AA5">
        <w:t>πληρωμών</w:t>
      </w:r>
      <w:r w:rsidR="00C97131">
        <w:t xml:space="preserve"> σε μετρητά από 500 </w:t>
      </w:r>
      <w:r w:rsidR="00C70AA5">
        <w:t xml:space="preserve">ευρώ </w:t>
      </w:r>
      <w:r w:rsidR="00C97131">
        <w:t>που είναι σήμερα</w:t>
      </w:r>
      <w:r w:rsidR="00204478">
        <w:t xml:space="preserve"> </w:t>
      </w:r>
      <w:r w:rsidR="00C70AA5">
        <w:t>στα 100 ή 200 ευρώ</w:t>
      </w:r>
      <w:r w:rsidRPr="009B2F2E">
        <w:t>.</w:t>
      </w:r>
    </w:p>
    <w:p w:rsidR="00980DF5" w:rsidRPr="00C106C6" w:rsidRDefault="00980DF5" w:rsidP="00980DF5">
      <w:pPr>
        <w:pStyle w:val="Web"/>
        <w:numPr>
          <w:ilvl w:val="0"/>
          <w:numId w:val="1"/>
        </w:numPr>
        <w:spacing w:line="360" w:lineRule="auto"/>
        <w:jc w:val="both"/>
      </w:pPr>
      <w:r w:rsidRPr="00A52F2A">
        <w:rPr>
          <w:color w:val="000000"/>
        </w:rPr>
        <w:t>Παρομοίως, για τη μείωση των ανισοτήτων στον πλούτο,</w:t>
      </w:r>
      <w:r w:rsidR="00C70AA5">
        <w:rPr>
          <w:color w:val="000000"/>
        </w:rPr>
        <w:t xml:space="preserve"> προτείνουμε την επαναφορά</w:t>
      </w:r>
      <w:r w:rsidR="00D7049C">
        <w:rPr>
          <w:color w:val="000000"/>
        </w:rPr>
        <w:t xml:space="preserve"> </w:t>
      </w:r>
      <w:r w:rsidR="00C70AA5">
        <w:rPr>
          <w:color w:val="000000"/>
        </w:rPr>
        <w:t>του</w:t>
      </w:r>
      <w:r w:rsidRPr="00A52F2A">
        <w:rPr>
          <w:color w:val="000000"/>
        </w:rPr>
        <w:t xml:space="preserve"> ειδικ</w:t>
      </w:r>
      <w:r w:rsidR="00C70AA5">
        <w:rPr>
          <w:color w:val="000000"/>
        </w:rPr>
        <w:t>ού φόρο</w:t>
      </w:r>
      <w:r w:rsidR="003A7C5E">
        <w:rPr>
          <w:color w:val="000000"/>
        </w:rPr>
        <w:t xml:space="preserve">υ </w:t>
      </w:r>
      <w:r w:rsidR="00C70AA5">
        <w:rPr>
          <w:color w:val="000000"/>
        </w:rPr>
        <w:t>σ</w:t>
      </w:r>
      <w:r w:rsidRPr="00A52F2A">
        <w:rPr>
          <w:color w:val="000000"/>
        </w:rPr>
        <w:t>τη μεγάλη ακίνητη περιουσία. Επίσης, όπως φορολογ</w:t>
      </w:r>
      <w:r w:rsidR="003A7C5E">
        <w:rPr>
          <w:color w:val="000000"/>
        </w:rPr>
        <w:t xml:space="preserve">είται η ακίνητη περιουσία </w:t>
      </w:r>
      <w:r w:rsidRPr="00A52F2A">
        <w:rPr>
          <w:color w:val="000000"/>
        </w:rPr>
        <w:t>, έτσι μ</w:t>
      </w:r>
      <w:r w:rsidR="00CD5477">
        <w:rPr>
          <w:color w:val="000000"/>
        </w:rPr>
        <w:t>πορεί και πρέπει να φορολογηθούν οι χρηματιστηριακές – κερδοσκοπικές</w:t>
      </w:r>
      <w:r w:rsidR="00D7049C">
        <w:rPr>
          <w:color w:val="000000"/>
        </w:rPr>
        <w:t xml:space="preserve"> </w:t>
      </w:r>
      <w:r w:rsidR="00CD5477">
        <w:rPr>
          <w:color w:val="000000"/>
        </w:rPr>
        <w:t>συναλλαγές</w:t>
      </w:r>
      <w:r w:rsidR="00CD5477" w:rsidRPr="00A52F2A">
        <w:rPr>
          <w:color w:val="000000"/>
        </w:rPr>
        <w:t xml:space="preserve">  (βλ μετοχές, ομόλογα, παράγωγα, αμοιβαία κεφάλαια </w:t>
      </w:r>
      <w:r w:rsidR="00E1741D" w:rsidRPr="00A52F2A">
        <w:rPr>
          <w:color w:val="000000"/>
        </w:rPr>
        <w:t>κλπ.</w:t>
      </w:r>
      <w:r w:rsidR="00CD5477">
        <w:rPr>
          <w:color w:val="000000"/>
        </w:rPr>
        <w:t>)</w:t>
      </w:r>
      <w:r w:rsidR="00CD5477" w:rsidRPr="00A52F2A">
        <w:rPr>
          <w:color w:val="000000"/>
        </w:rPr>
        <w:t xml:space="preserve"> που αντιστοιχούν στο 1/3 του συνόλου </w:t>
      </w:r>
      <w:r w:rsidR="00CD5477">
        <w:rPr>
          <w:color w:val="000000"/>
        </w:rPr>
        <w:t xml:space="preserve">της </w:t>
      </w:r>
      <w:r w:rsidRPr="00A52F2A">
        <w:rPr>
          <w:color w:val="000000"/>
        </w:rPr>
        <w:t>κινητή</w:t>
      </w:r>
      <w:r w:rsidR="00CD5477">
        <w:rPr>
          <w:color w:val="000000"/>
        </w:rPr>
        <w:t>ς</w:t>
      </w:r>
      <w:r w:rsidRPr="00A52F2A">
        <w:rPr>
          <w:color w:val="000000"/>
        </w:rPr>
        <w:t xml:space="preserve"> περιουσία</w:t>
      </w:r>
      <w:r w:rsidR="00CD5477">
        <w:rPr>
          <w:color w:val="000000"/>
        </w:rPr>
        <w:t>ς</w:t>
      </w:r>
      <w:r w:rsidRPr="00A52F2A">
        <w:rPr>
          <w:color w:val="000000"/>
        </w:rPr>
        <w:t xml:space="preserve"> των Ελλήνων </w:t>
      </w:r>
      <w:r w:rsidR="00CD5477">
        <w:rPr>
          <w:color w:val="000000"/>
        </w:rPr>
        <w:t>ύψους</w:t>
      </w:r>
      <w:r w:rsidRPr="00A52F2A">
        <w:rPr>
          <w:color w:val="000000"/>
        </w:rPr>
        <w:t xml:space="preserve"> 320 δις δολ</w:t>
      </w:r>
      <w:r w:rsidR="00D7049C">
        <w:rPr>
          <w:color w:val="000000"/>
        </w:rPr>
        <w:t xml:space="preserve"> </w:t>
      </w:r>
      <w:r w:rsidR="00CD5477">
        <w:rPr>
          <w:color w:val="000000"/>
        </w:rPr>
        <w:t>(</w:t>
      </w:r>
      <w:r w:rsidRPr="00A52F2A">
        <w:rPr>
          <w:color w:val="000000"/>
        </w:rPr>
        <w:t xml:space="preserve">σύμφωνα με την </w:t>
      </w:r>
      <w:r w:rsidRPr="00A52F2A">
        <w:rPr>
          <w:color w:val="000000"/>
          <w:lang w:val="en-US"/>
        </w:rPr>
        <w:t>Credit</w:t>
      </w:r>
      <w:r w:rsidR="00D7049C">
        <w:rPr>
          <w:color w:val="000000"/>
        </w:rPr>
        <w:t xml:space="preserve"> </w:t>
      </w:r>
      <w:r w:rsidRPr="00A52F2A">
        <w:rPr>
          <w:color w:val="000000"/>
          <w:lang w:val="en-US"/>
        </w:rPr>
        <w:t>Suisse</w:t>
      </w:r>
      <w:r w:rsidRPr="00A52F2A">
        <w:rPr>
          <w:color w:val="000000"/>
        </w:rPr>
        <w:t xml:space="preserve"> το 2020)</w:t>
      </w:r>
      <w:r w:rsidR="00CD5477">
        <w:rPr>
          <w:color w:val="000000"/>
        </w:rPr>
        <w:t>.Με</w:t>
      </w:r>
      <w:r w:rsidRPr="00A52F2A">
        <w:rPr>
          <w:color w:val="000000"/>
        </w:rPr>
        <w:t xml:space="preserve"> ένα φορολογικό συντελεστή 1% </w:t>
      </w:r>
      <w:r w:rsidR="00CD5477">
        <w:rPr>
          <w:color w:val="000000"/>
        </w:rPr>
        <w:t xml:space="preserve">η φορολογία αυτή </w:t>
      </w:r>
      <w:r w:rsidR="00E26BF0">
        <w:rPr>
          <w:color w:val="000000"/>
        </w:rPr>
        <w:t>-</w:t>
      </w:r>
      <w:r w:rsidR="00E26BF0" w:rsidRPr="00A52F2A">
        <w:t>η οποία θα μπορούσε να συμβάλλει στον περιορισμό της κερδοσκοπίας, των ανισοτήτων και της υποβάθμισης του περιβάλλοντος</w:t>
      </w:r>
      <w:r w:rsidR="00E26BF0">
        <w:t xml:space="preserve"> -</w:t>
      </w:r>
      <w:r w:rsidRPr="00F86F02">
        <w:rPr>
          <w:b/>
          <w:color w:val="000000"/>
        </w:rPr>
        <w:t xml:space="preserve">μπορεί </w:t>
      </w:r>
      <w:r w:rsidR="00CD5477" w:rsidRPr="00F86F02">
        <w:rPr>
          <w:b/>
          <w:color w:val="000000"/>
        </w:rPr>
        <w:t>να αποδώσει έσοδα 1 δις περίπου</w:t>
      </w:r>
      <w:r w:rsidRPr="00A52F2A">
        <w:rPr>
          <w:color w:val="000000"/>
        </w:rPr>
        <w:t>.</w:t>
      </w:r>
      <w:r w:rsidR="00D7049C">
        <w:rPr>
          <w:color w:val="000000"/>
        </w:rPr>
        <w:t xml:space="preserve"> </w:t>
      </w:r>
      <w:r w:rsidRPr="00A52F2A">
        <w:rPr>
          <w:rFonts w:cstheme="minorHAnsi"/>
          <w:color w:val="000000" w:themeColor="text1"/>
        </w:rPr>
        <w:t>Επίσης, ο</w:t>
      </w:r>
      <w:r w:rsidRPr="00A52F2A">
        <w:t xml:space="preserve"> φόρος στα μερίσματα που μειώθηκε από τη ΝΔ το 2019 από το 10% στο 5% να αυξηθεί στα επίπεδα του 15% όπως ήταν παλιά</w:t>
      </w:r>
      <w:r w:rsidR="00204478">
        <w:t xml:space="preserve"> (ή εναλλακτικά να προστίθενται στην κλίμακα φορολόγησης)</w:t>
      </w:r>
      <w:r w:rsidR="003A7C5E">
        <w:t xml:space="preserve">. Η αύξηση αυτή μπορεί να συνδυασθεί με μείωση του συντελεστή μη διανεμόμενων κερδών </w:t>
      </w:r>
      <w:r w:rsidRPr="00A52F2A">
        <w:t xml:space="preserve">ώστε τα κέρδη να επενδύονται εκ νέου στις </w:t>
      </w:r>
      <w:r w:rsidRPr="00C106C6">
        <w:lastRenderedPageBreak/>
        <w:t>επιχειρήσεις</w:t>
      </w:r>
      <w:r w:rsidR="00D7049C">
        <w:t xml:space="preserve"> </w:t>
      </w:r>
      <w:r w:rsidR="00314F66" w:rsidRPr="00C106C6">
        <w:t>μέσω διατάξεων νέας νομοθεσίας που θα ωθεί</w:t>
      </w:r>
      <w:r w:rsidR="003A7C5E">
        <w:t>, μεταξύ άλλων,</w:t>
      </w:r>
      <w:r w:rsidR="00314F66" w:rsidRPr="00C106C6">
        <w:t xml:space="preserve"> τις επανεπενδύσεις στον τομέα της έρευνας και της σύνδεσης των επιχειρήσεων με τα Πανεπιστήμια</w:t>
      </w:r>
      <w:r w:rsidR="00C106C6">
        <w:t>.</w:t>
      </w:r>
    </w:p>
    <w:p w:rsidR="00EF696F" w:rsidRPr="004F0DAF" w:rsidRDefault="00980DF5" w:rsidP="00980DF5">
      <w:pPr>
        <w:pStyle w:val="Web"/>
        <w:numPr>
          <w:ilvl w:val="0"/>
          <w:numId w:val="1"/>
        </w:numPr>
        <w:spacing w:line="360" w:lineRule="auto"/>
        <w:jc w:val="both"/>
      </w:pPr>
      <w:r w:rsidRPr="00980DF5">
        <w:rPr>
          <w:color w:val="000000" w:themeColor="text1"/>
        </w:rPr>
        <w:t xml:space="preserve">Να προχωρήσουμε άμεσα στην φορολογία της Εκκλησίας </w:t>
      </w:r>
      <w:r w:rsidR="00CC3FD0">
        <w:rPr>
          <w:color w:val="000000" w:themeColor="text1"/>
        </w:rPr>
        <w:t xml:space="preserve">(η περιουσία της </w:t>
      </w:r>
      <w:r w:rsidR="00E66DBE">
        <w:rPr>
          <w:color w:val="000000" w:themeColor="text1"/>
        </w:rPr>
        <w:t xml:space="preserve">οποίας αν και είναι δύσκολο να εκτιμηθεί </w:t>
      </w:r>
      <w:r w:rsidR="00CC3FD0">
        <w:rPr>
          <w:color w:val="000000" w:themeColor="text1"/>
        </w:rPr>
        <w:t xml:space="preserve">υπερβαίνει </w:t>
      </w:r>
      <w:r w:rsidR="00E66DBE">
        <w:rPr>
          <w:color w:val="000000" w:themeColor="text1"/>
        </w:rPr>
        <w:t>κατά πολύ τα 14 δις που έχουν γραφεί</w:t>
      </w:r>
      <w:r w:rsidR="00CC3FD0">
        <w:rPr>
          <w:color w:val="000000" w:themeColor="text1"/>
        </w:rPr>
        <w:t xml:space="preserve">) </w:t>
      </w:r>
      <w:r w:rsidRPr="00980DF5">
        <w:rPr>
          <w:color w:val="000000" w:themeColor="text1"/>
        </w:rPr>
        <w:t>και στο  διαχωρισμό της από το Κράτος, με παράλληλη διανομή για εκμετάλλευση των αγροτικών εκτάσεων που ανήκουν στην εκκλησία σε άκληρους ή με μικρές καλλιεργήσιμες εκτάσεις αγρότες.</w:t>
      </w:r>
    </w:p>
    <w:p w:rsidR="005D739D" w:rsidRPr="00B32274" w:rsidRDefault="004F0DAF" w:rsidP="005D739D">
      <w:pPr>
        <w:pStyle w:val="Web"/>
        <w:numPr>
          <w:ilvl w:val="0"/>
          <w:numId w:val="1"/>
        </w:numPr>
        <w:spacing w:line="360" w:lineRule="auto"/>
        <w:jc w:val="both"/>
      </w:pPr>
      <w:r>
        <w:rPr>
          <w:color w:val="000000" w:themeColor="text1"/>
        </w:rPr>
        <w:t xml:space="preserve">Δεδομένου ότι (α) </w:t>
      </w:r>
      <w:r w:rsidR="003D4AC4">
        <w:rPr>
          <w:color w:val="000000" w:themeColor="text1"/>
        </w:rPr>
        <w:t xml:space="preserve">σύμφωνα με την </w:t>
      </w:r>
      <w:r w:rsidR="003D4AC4">
        <w:rPr>
          <w:rStyle w:val="a6"/>
        </w:rPr>
        <w:t>Έκθεση Κενού Παραγωγής</w:t>
      </w:r>
      <w:r w:rsidR="003D4AC4">
        <w:t xml:space="preserve"> του ΟΗΕ (2021) </w:t>
      </w:r>
      <w:r>
        <w:rPr>
          <w:color w:val="000000" w:themeColor="text1"/>
        </w:rPr>
        <w:t>τα κυβερνητικά σχέδια διεθνώς υπολείπονται δύο φορές των ρυθμών που απαιτούνται για την συγκράτηση της υπερθέρμανσης του πλανήτη κατά 1,5 β. κελσίου</w:t>
      </w:r>
      <w:r w:rsidR="003D4AC4">
        <w:rPr>
          <w:color w:val="000000" w:themeColor="text1"/>
        </w:rPr>
        <w:t>, (β) η Ελλάδα είναι μεταξύ των μεσογειακών χωρών που πλήττονται περισσότερο από την υπερθέρμανση, (γ) οι τιμές των υδρογονανθράκων θα συνεχίσουν να αυξάνονται τα προσεχή έτη ελλείψει αποθεμάτων/κοιτασμάτων και επενδύσεων στον κλάδο προκαλώντας πληθωρισμό και ελλείψεις στην παραγωγή τροφίμων, (δ) η ελληνική οικονομία έχει συγκριτικά μεγαλύτερη ενεργειακή εξάρτηση από εισαγωγές υδρογονανθράκων: χ</w:t>
      </w:r>
      <w:r>
        <w:rPr>
          <w:color w:val="000000" w:themeColor="text1"/>
        </w:rPr>
        <w:t xml:space="preserve">ρειάζεται να επιταχύνουμε δύο αλληλένδετες διαδικασίας που βρίσκονται στη βάση του μετασχηματισμού του παραγωγικού υποδείγματος της χώρας: από τη μία πρέπει να επισπεύσουμε την πράσινη μετάβαση στρέφοντας πολύ μεγαλύτερο ποσοστό των πόρων του Ταμείου Ανάκαμψης σε πράσινες δράσεις και από την άλλη να ενισχύσουμε σε πολλαπλάσιο βαθμό την διαδικασία υποκατάστασης των υδρογονανθράκων από ΑΠΕ </w:t>
      </w:r>
      <w:r w:rsidR="003D4AC4">
        <w:rPr>
          <w:color w:val="000000" w:themeColor="text1"/>
        </w:rPr>
        <w:t>(</w:t>
      </w:r>
      <w:r>
        <w:rPr>
          <w:color w:val="000000" w:themeColor="text1"/>
        </w:rPr>
        <w:t>ως βασικής ενεργειακής πηγής της οικονομίας</w:t>
      </w:r>
      <w:r w:rsidR="003D4AC4">
        <w:rPr>
          <w:color w:val="000000" w:themeColor="text1"/>
        </w:rPr>
        <w:t>) αλλά και των εισαγωγών τροφίμων από εγχώρια αγροτοβιομηχανική παραγωγή</w:t>
      </w:r>
      <w:r>
        <w:rPr>
          <w:color w:val="000000" w:themeColor="text1"/>
        </w:rPr>
        <w:t xml:space="preserve">. </w:t>
      </w:r>
      <w:r w:rsidR="005D739D">
        <w:t>Αυτό το σχέδιο παραγωγικής αναδιάρθρωσης απαιτεί τεράστιες επενδύσεις – στον ενεργειακό εφοδιασμό</w:t>
      </w:r>
      <w:r w:rsidR="00D5115B">
        <w:t>, τη χρήση ενέργειας</w:t>
      </w:r>
      <w:r w:rsidR="005D739D">
        <w:t xml:space="preserve"> και τις υποδομές, στις μεταφορές και την αγροτοβιομηχανική παραγωγή – που δεν μπορεί να υλοποιήσει καμία δεξιά κυβέρνηση. Πρώτο, γιατί δεν προτίθενται να ασκήσουν πολιτικές με στόχους δημοσιονομικών ελλειμμάτων και δεν αγωνίζονται να αναθεωρήσουν δραστικά το Σύμφωνο Σταθερότητας. Δεύτερο, γιατί οι προϋπολογισμοί νοικοκυριών και επιχειρήσεων θα επιβαρυνθούν σημαντικά από το κόστος μετάβασης</w:t>
      </w:r>
      <w:r w:rsidR="00204478">
        <w:t xml:space="preserve"> </w:t>
      </w:r>
      <w:r w:rsidR="005D739D">
        <w:t xml:space="preserve">και θα χρειαστούν στήριξη που μόνον μία ισχυρή πολιτική αναδιανομής υπέρ των πλέον αδυνάμων μπορεί να διασφαλίσει, κάτι που δεν </w:t>
      </w:r>
      <w:r w:rsidR="005D739D">
        <w:lastRenderedPageBreak/>
        <w:t xml:space="preserve">μπορεί να εφαρμόσουν κυβερνήσεις εξαρτημένες από τα μεγάλα οικονομικά συμφέροντα. </w:t>
      </w:r>
      <w:r w:rsidR="00317E0A">
        <w:t xml:space="preserve">Τρίτο, γιατί κυρίως ένας παρόμοιος ανασχεδιασμός δεν μπορεί παρά να βασίζεται κυρίως σε δημόσιες πολιτικές κι όχι στις δυνάμεις της αγοράς όπως κάνουν οι δεξιές κυβερνήσεις. Απόδειξη είναι η κατανομή των πόρων του Ταμείου Ανάκαμψης που έχει αποδεχθεί η κυβέρνηση της ΝΔ: για την πράσινη μετάβαση αφιερώνει το 37,7% του συνόλου έναντι 43% του μέσου όρου της ΕΕ20. Αντίστοιχα, σε κλαδικό επίπεδο αφιερώνει στις μεταφορές-αποθήκευση 4,2% των πόρων έναντι 18,1% της ΕΕ20 και στον ενεργειακό τομέα όσο περίπου και η ΕΕ20 (11,2% έναντι 10,7%) παρά τις πολύ μεγαλύτερες ανάγκες. Αντίθετα, προσδεμένη στα εργολαβικά δίκτυα αφιερώνει το 15,7% των πόρων στον κατασκευαστικό τομέα έναντι μόλις 8% της ΕΕ20. </w:t>
      </w:r>
      <w:r w:rsidR="00317E0A" w:rsidRPr="008C47A4">
        <w:rPr>
          <w:b/>
        </w:rPr>
        <w:t>Πρότασή μας</w:t>
      </w:r>
      <w:r w:rsidR="008C47A4" w:rsidRPr="008C47A4">
        <w:rPr>
          <w:b/>
        </w:rPr>
        <w:t xml:space="preserve"> λοιπόν είναι 8</w:t>
      </w:r>
      <w:r w:rsidR="00317E0A" w:rsidRPr="008C47A4">
        <w:rPr>
          <w:b/>
        </w:rPr>
        <w:t xml:space="preserve">% των πόρων </w:t>
      </w:r>
      <w:r w:rsidR="008C47A4" w:rsidRPr="008C47A4">
        <w:rPr>
          <w:b/>
        </w:rPr>
        <w:t xml:space="preserve">του Ταμείου </w:t>
      </w:r>
      <w:r w:rsidR="00317E0A" w:rsidRPr="008C47A4">
        <w:rPr>
          <w:b/>
        </w:rPr>
        <w:t>να ανακατευθυνθούν από τις</w:t>
      </w:r>
      <w:r w:rsidR="008C47A4" w:rsidRPr="008C47A4">
        <w:rPr>
          <w:b/>
        </w:rPr>
        <w:t xml:space="preserve"> κατασκευές σε δράσεις της</w:t>
      </w:r>
      <w:r w:rsidR="00317E0A" w:rsidRPr="008C47A4">
        <w:rPr>
          <w:b/>
        </w:rPr>
        <w:t xml:space="preserve"> πράσινη</w:t>
      </w:r>
      <w:r w:rsidR="008C47A4" w:rsidRPr="008C47A4">
        <w:rPr>
          <w:b/>
        </w:rPr>
        <w:t>ς</w:t>
      </w:r>
      <w:r w:rsidR="00317E0A" w:rsidRPr="008C47A4">
        <w:rPr>
          <w:b/>
        </w:rPr>
        <w:t xml:space="preserve"> μετάβαση</w:t>
      </w:r>
      <w:r w:rsidR="008C47A4" w:rsidRPr="008C47A4">
        <w:rPr>
          <w:b/>
        </w:rPr>
        <w:t>ς και του ενεργειακού τομέα</w:t>
      </w:r>
      <w:r w:rsidR="00D5115B">
        <w:rPr>
          <w:b/>
        </w:rPr>
        <w:t>, ενώ ένα ακόμη μικρό π</w:t>
      </w:r>
      <w:r w:rsidR="007152AE">
        <w:rPr>
          <w:b/>
        </w:rPr>
        <w:t>οσοστό θα άξιζε να ενισχύσει τον τομέα</w:t>
      </w:r>
      <w:r w:rsidR="00D5115B">
        <w:rPr>
          <w:b/>
        </w:rPr>
        <w:t xml:space="preserve"> έρευνα</w:t>
      </w:r>
      <w:r w:rsidR="007152AE">
        <w:rPr>
          <w:b/>
        </w:rPr>
        <w:t>ς</w:t>
      </w:r>
      <w:r w:rsidR="00D5115B">
        <w:rPr>
          <w:b/>
        </w:rPr>
        <w:t>-καινοτομία</w:t>
      </w:r>
      <w:r w:rsidR="007152AE">
        <w:rPr>
          <w:b/>
        </w:rPr>
        <w:t>ς</w:t>
      </w:r>
      <w:r w:rsidR="008C47A4">
        <w:t>. Ανάλογη αναδι</w:t>
      </w:r>
      <w:r w:rsidR="007152AE">
        <w:t>άρθρωσηθα επιδιωχθεί</w:t>
      </w:r>
      <w:r w:rsidR="008C47A4">
        <w:t xml:space="preserve"> και στους πόρους του ΕΣΠΑ. </w:t>
      </w:r>
    </w:p>
    <w:p w:rsidR="00573246" w:rsidRDefault="00573246" w:rsidP="00A10790">
      <w:pPr>
        <w:pStyle w:val="Web"/>
        <w:spacing w:line="360" w:lineRule="auto"/>
        <w:ind w:left="720"/>
        <w:jc w:val="both"/>
        <w:rPr>
          <w:color w:val="000000" w:themeColor="text1"/>
        </w:rPr>
      </w:pPr>
      <w:r>
        <w:rPr>
          <w:color w:val="000000" w:themeColor="text1"/>
        </w:rPr>
        <w:t>(ακολουθεί Πίνακας κόστους-οφέλους των Προτάσεων)</w:t>
      </w: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3D695F" w:rsidRDefault="003D695F" w:rsidP="00B34446">
      <w:pPr>
        <w:pStyle w:val="Web"/>
        <w:keepNext/>
        <w:spacing w:line="360" w:lineRule="auto"/>
        <w:ind w:firstLine="720"/>
        <w:jc w:val="both"/>
        <w:rPr>
          <w:color w:val="000000" w:themeColor="text1"/>
        </w:rPr>
      </w:pPr>
    </w:p>
    <w:p w:rsidR="00B32274" w:rsidRDefault="00B32274" w:rsidP="00B34446">
      <w:pPr>
        <w:pStyle w:val="Web"/>
        <w:keepNext/>
        <w:spacing w:line="360" w:lineRule="auto"/>
        <w:ind w:firstLine="720"/>
        <w:jc w:val="both"/>
        <w:rPr>
          <w:color w:val="000000" w:themeColor="text1"/>
        </w:rPr>
      </w:pPr>
      <w:r>
        <w:rPr>
          <w:color w:val="000000" w:themeColor="text1"/>
        </w:rPr>
        <w:t>ΣΥΝΟΨΗ ΚΟΣΤΟΥΣ-ΟΦΕΛΟΥΣ ΠΡΟΤΕΙΝΟΜΕΝΩΝ ΜΕΤΡΩΝ</w:t>
      </w:r>
    </w:p>
    <w:tbl>
      <w:tblPr>
        <w:tblStyle w:val="a5"/>
        <w:tblW w:w="0" w:type="auto"/>
        <w:tblInd w:w="720" w:type="dxa"/>
        <w:tblLook w:val="04A0" w:firstRow="1" w:lastRow="0" w:firstColumn="1" w:lastColumn="0" w:noHBand="0" w:noVBand="1"/>
      </w:tblPr>
      <w:tblGrid>
        <w:gridCol w:w="4066"/>
        <w:gridCol w:w="1843"/>
        <w:gridCol w:w="1893"/>
      </w:tblGrid>
      <w:tr w:rsidR="00B32274" w:rsidTr="00B32274">
        <w:tc>
          <w:tcPr>
            <w:tcW w:w="4066" w:type="dxa"/>
          </w:tcPr>
          <w:p w:rsidR="00B32274" w:rsidRDefault="00B32274" w:rsidP="00B32274">
            <w:pPr>
              <w:pStyle w:val="Web"/>
              <w:spacing w:line="360" w:lineRule="auto"/>
              <w:jc w:val="both"/>
            </w:pPr>
            <w:r>
              <w:t>ΜΕΤΡΑ</w:t>
            </w:r>
          </w:p>
        </w:tc>
        <w:tc>
          <w:tcPr>
            <w:tcW w:w="1843" w:type="dxa"/>
          </w:tcPr>
          <w:p w:rsidR="00B32274" w:rsidRDefault="00B32274" w:rsidP="00B32274">
            <w:pPr>
              <w:pStyle w:val="Web"/>
              <w:spacing w:line="360" w:lineRule="auto"/>
              <w:jc w:val="center"/>
            </w:pPr>
            <w:r>
              <w:t>ΚΟΣΤΟΣ</w:t>
            </w:r>
          </w:p>
        </w:tc>
        <w:tc>
          <w:tcPr>
            <w:tcW w:w="1893" w:type="dxa"/>
          </w:tcPr>
          <w:p w:rsidR="00B32274" w:rsidRDefault="00B32274" w:rsidP="00B32274">
            <w:pPr>
              <w:pStyle w:val="Web"/>
              <w:spacing w:line="360" w:lineRule="auto"/>
              <w:jc w:val="center"/>
            </w:pPr>
            <w:r>
              <w:t>ΟΦΕΛΟΣ</w:t>
            </w:r>
          </w:p>
        </w:tc>
      </w:tr>
      <w:tr w:rsidR="00B32274" w:rsidTr="008B35B4">
        <w:trPr>
          <w:trHeight w:val="574"/>
        </w:trPr>
        <w:tc>
          <w:tcPr>
            <w:tcW w:w="4066" w:type="dxa"/>
          </w:tcPr>
          <w:p w:rsidR="00B32274" w:rsidRDefault="00B32274" w:rsidP="00B32274">
            <w:pPr>
              <w:pStyle w:val="Web"/>
              <w:spacing w:line="360" w:lineRule="auto"/>
              <w:jc w:val="both"/>
            </w:pPr>
            <w:r>
              <w:t>1.Αναδιαπραγμάτευση δημοσίου χρέους</w:t>
            </w:r>
          </w:p>
        </w:tc>
        <w:tc>
          <w:tcPr>
            <w:tcW w:w="1843" w:type="dxa"/>
          </w:tcPr>
          <w:p w:rsidR="00B32274" w:rsidRDefault="00B32274" w:rsidP="00B32274">
            <w:pPr>
              <w:pStyle w:val="Web"/>
              <w:spacing w:line="360" w:lineRule="auto"/>
              <w:jc w:val="center"/>
            </w:pPr>
          </w:p>
        </w:tc>
        <w:tc>
          <w:tcPr>
            <w:tcW w:w="1893" w:type="dxa"/>
          </w:tcPr>
          <w:p w:rsidR="00B32274" w:rsidRDefault="00B32274" w:rsidP="00B32274">
            <w:pPr>
              <w:pStyle w:val="Web"/>
              <w:spacing w:line="360" w:lineRule="auto"/>
              <w:jc w:val="center"/>
            </w:pPr>
            <w:r>
              <w:t>10 δις</w:t>
            </w:r>
          </w:p>
        </w:tc>
      </w:tr>
      <w:tr w:rsidR="00B32274" w:rsidTr="00B32274">
        <w:tc>
          <w:tcPr>
            <w:tcW w:w="4066" w:type="dxa"/>
          </w:tcPr>
          <w:p w:rsidR="00B32274" w:rsidRDefault="00B32274" w:rsidP="00B32274">
            <w:pPr>
              <w:pStyle w:val="Web"/>
              <w:spacing w:line="360" w:lineRule="auto"/>
              <w:jc w:val="both"/>
            </w:pPr>
            <w:r>
              <w:t>2.Διπλασιασμός δημοσίων επενδύσεων</w:t>
            </w:r>
          </w:p>
        </w:tc>
        <w:tc>
          <w:tcPr>
            <w:tcW w:w="1843" w:type="dxa"/>
          </w:tcPr>
          <w:p w:rsidR="00B32274" w:rsidRDefault="00B32274" w:rsidP="00B32274">
            <w:pPr>
              <w:pStyle w:val="Web"/>
              <w:spacing w:line="360" w:lineRule="auto"/>
              <w:jc w:val="center"/>
            </w:pPr>
            <w:r>
              <w:t>10 δις</w:t>
            </w:r>
          </w:p>
        </w:tc>
        <w:tc>
          <w:tcPr>
            <w:tcW w:w="1893" w:type="dxa"/>
          </w:tcPr>
          <w:p w:rsidR="00B32274" w:rsidRDefault="00B32274" w:rsidP="00B32274">
            <w:pPr>
              <w:pStyle w:val="Web"/>
              <w:spacing w:line="360" w:lineRule="auto"/>
              <w:jc w:val="center"/>
            </w:pPr>
          </w:p>
        </w:tc>
      </w:tr>
      <w:tr w:rsidR="00B32274" w:rsidTr="00B32274">
        <w:tc>
          <w:tcPr>
            <w:tcW w:w="4066" w:type="dxa"/>
          </w:tcPr>
          <w:p w:rsidR="00B32274" w:rsidRDefault="00B32274" w:rsidP="00B32274">
            <w:pPr>
              <w:pStyle w:val="Web"/>
              <w:spacing w:line="360" w:lineRule="auto"/>
              <w:jc w:val="both"/>
            </w:pPr>
            <w:r>
              <w:t>3.Μερική διαγραφή χρεών υπερχρεωμένων νοικοκυριών</w:t>
            </w:r>
          </w:p>
        </w:tc>
        <w:tc>
          <w:tcPr>
            <w:tcW w:w="1843" w:type="dxa"/>
          </w:tcPr>
          <w:p w:rsidR="00B32274" w:rsidRDefault="008B35B4" w:rsidP="00B32274">
            <w:pPr>
              <w:pStyle w:val="Web"/>
              <w:spacing w:line="360" w:lineRule="auto"/>
              <w:jc w:val="center"/>
            </w:pPr>
            <w:r>
              <w:t>(12 δις για τράπεζες μόνο)</w:t>
            </w:r>
          </w:p>
        </w:tc>
        <w:tc>
          <w:tcPr>
            <w:tcW w:w="1893" w:type="dxa"/>
          </w:tcPr>
          <w:p w:rsidR="00B32274" w:rsidRDefault="005C572E" w:rsidP="00B32274">
            <w:pPr>
              <w:pStyle w:val="Web"/>
              <w:spacing w:line="360" w:lineRule="auto"/>
              <w:jc w:val="center"/>
            </w:pPr>
            <w:r>
              <w:t>αύξηση κατανάλωσης και φορ. εσόδων</w:t>
            </w:r>
          </w:p>
        </w:tc>
      </w:tr>
      <w:tr w:rsidR="00B32274" w:rsidTr="00B32274">
        <w:tc>
          <w:tcPr>
            <w:tcW w:w="4066" w:type="dxa"/>
          </w:tcPr>
          <w:p w:rsidR="00B32274" w:rsidRDefault="008B35B4" w:rsidP="00B32274">
            <w:pPr>
              <w:pStyle w:val="Web"/>
              <w:spacing w:line="360" w:lineRule="auto"/>
              <w:jc w:val="both"/>
            </w:pPr>
            <w:r>
              <w:t>4.Εξαγορά συνεταιριστικής τράπεζας και πιθανή εξαγορά 42% της ΕΤΕ</w:t>
            </w:r>
          </w:p>
        </w:tc>
        <w:tc>
          <w:tcPr>
            <w:tcW w:w="1843" w:type="dxa"/>
          </w:tcPr>
          <w:p w:rsidR="00B32274" w:rsidRDefault="008B35B4" w:rsidP="00B32274">
            <w:pPr>
              <w:pStyle w:val="Web"/>
              <w:spacing w:line="360" w:lineRule="auto"/>
              <w:jc w:val="center"/>
            </w:pPr>
            <w:r>
              <w:t>100 εκατ. έως και 1,1 δις</w:t>
            </w:r>
          </w:p>
        </w:tc>
        <w:tc>
          <w:tcPr>
            <w:tcW w:w="1893" w:type="dxa"/>
          </w:tcPr>
          <w:p w:rsidR="00B32274" w:rsidRDefault="00B32274" w:rsidP="00B32274">
            <w:pPr>
              <w:pStyle w:val="Web"/>
              <w:spacing w:line="360" w:lineRule="auto"/>
              <w:jc w:val="center"/>
            </w:pPr>
          </w:p>
        </w:tc>
      </w:tr>
      <w:tr w:rsidR="00B32274" w:rsidTr="00B32274">
        <w:tc>
          <w:tcPr>
            <w:tcW w:w="4066" w:type="dxa"/>
          </w:tcPr>
          <w:p w:rsidR="00B32274" w:rsidRDefault="008B35B4" w:rsidP="00B32274">
            <w:pPr>
              <w:pStyle w:val="Web"/>
              <w:spacing w:line="360" w:lineRule="auto"/>
              <w:jc w:val="both"/>
            </w:pPr>
            <w:r>
              <w:t>5.Επαναγορά 49% ΔΕΔΔΗΕ</w:t>
            </w:r>
          </w:p>
        </w:tc>
        <w:tc>
          <w:tcPr>
            <w:tcW w:w="1843" w:type="dxa"/>
          </w:tcPr>
          <w:p w:rsidR="00B32274" w:rsidRDefault="008B35B4" w:rsidP="00B32274">
            <w:pPr>
              <w:pStyle w:val="Web"/>
              <w:spacing w:line="360" w:lineRule="auto"/>
              <w:jc w:val="center"/>
            </w:pPr>
            <w:r>
              <w:t>2,1 δις</w:t>
            </w:r>
          </w:p>
        </w:tc>
        <w:tc>
          <w:tcPr>
            <w:tcW w:w="1893" w:type="dxa"/>
          </w:tcPr>
          <w:p w:rsidR="00B32274" w:rsidRDefault="00B32274" w:rsidP="00B32274">
            <w:pPr>
              <w:pStyle w:val="Web"/>
              <w:spacing w:line="360" w:lineRule="auto"/>
              <w:jc w:val="center"/>
            </w:pPr>
          </w:p>
        </w:tc>
      </w:tr>
      <w:tr w:rsidR="00B32274" w:rsidTr="00B32274">
        <w:tc>
          <w:tcPr>
            <w:tcW w:w="4066" w:type="dxa"/>
          </w:tcPr>
          <w:p w:rsidR="00B32274" w:rsidRDefault="008B35B4" w:rsidP="00B32274">
            <w:pPr>
              <w:pStyle w:val="Web"/>
              <w:spacing w:line="360" w:lineRule="auto"/>
              <w:jc w:val="both"/>
            </w:pPr>
            <w:r>
              <w:t xml:space="preserve">6.Αύξησης δαπανών για υγεία/παιδεία </w:t>
            </w:r>
            <w:r>
              <w:lastRenderedPageBreak/>
              <w:t>εντός 4ετίας</w:t>
            </w:r>
          </w:p>
        </w:tc>
        <w:tc>
          <w:tcPr>
            <w:tcW w:w="1843" w:type="dxa"/>
          </w:tcPr>
          <w:p w:rsidR="00B32274" w:rsidRDefault="008B35B4" w:rsidP="00B32274">
            <w:pPr>
              <w:pStyle w:val="Web"/>
              <w:spacing w:line="360" w:lineRule="auto"/>
              <w:jc w:val="center"/>
            </w:pPr>
            <w:r>
              <w:lastRenderedPageBreak/>
              <w:t xml:space="preserve">3,4 δις ή 875 </w:t>
            </w:r>
            <w:r>
              <w:lastRenderedPageBreak/>
              <w:t>εκατ. ετησίως</w:t>
            </w:r>
          </w:p>
        </w:tc>
        <w:tc>
          <w:tcPr>
            <w:tcW w:w="1893" w:type="dxa"/>
          </w:tcPr>
          <w:p w:rsidR="00B32274" w:rsidRDefault="00B32274" w:rsidP="00B32274">
            <w:pPr>
              <w:pStyle w:val="Web"/>
              <w:spacing w:line="360" w:lineRule="auto"/>
              <w:jc w:val="center"/>
            </w:pPr>
          </w:p>
        </w:tc>
      </w:tr>
      <w:tr w:rsidR="00B32274" w:rsidTr="00B32274">
        <w:tc>
          <w:tcPr>
            <w:tcW w:w="4066" w:type="dxa"/>
          </w:tcPr>
          <w:p w:rsidR="00B32274" w:rsidRDefault="008B35B4" w:rsidP="00B32274">
            <w:pPr>
              <w:pStyle w:val="Web"/>
              <w:spacing w:line="360" w:lineRule="auto"/>
              <w:jc w:val="both"/>
            </w:pPr>
            <w:r>
              <w:lastRenderedPageBreak/>
              <w:t>7.Μείωση δαπανών σε Άμυνα-Δημ. Τάξη-Δημ. Υπηρεσίες</w:t>
            </w:r>
          </w:p>
        </w:tc>
        <w:tc>
          <w:tcPr>
            <w:tcW w:w="1843" w:type="dxa"/>
          </w:tcPr>
          <w:p w:rsidR="00B32274" w:rsidRDefault="00B32274" w:rsidP="00B32274">
            <w:pPr>
              <w:pStyle w:val="Web"/>
              <w:spacing w:line="360" w:lineRule="auto"/>
              <w:jc w:val="center"/>
            </w:pPr>
          </w:p>
        </w:tc>
        <w:tc>
          <w:tcPr>
            <w:tcW w:w="1893" w:type="dxa"/>
          </w:tcPr>
          <w:p w:rsidR="00B32274" w:rsidRDefault="008B35B4" w:rsidP="008B35B4">
            <w:pPr>
              <w:pStyle w:val="Web"/>
              <w:spacing w:line="360" w:lineRule="auto"/>
              <w:jc w:val="center"/>
            </w:pPr>
            <w:r>
              <w:t>5 δις (3,5 δις χωρίς Άμυνα)</w:t>
            </w:r>
          </w:p>
        </w:tc>
      </w:tr>
      <w:tr w:rsidR="00B32274" w:rsidTr="00B32274">
        <w:tc>
          <w:tcPr>
            <w:tcW w:w="4066" w:type="dxa"/>
          </w:tcPr>
          <w:p w:rsidR="00B32274" w:rsidRDefault="008B35B4" w:rsidP="00B32274">
            <w:pPr>
              <w:pStyle w:val="Web"/>
              <w:spacing w:line="360" w:lineRule="auto"/>
              <w:jc w:val="both"/>
            </w:pPr>
            <w:r>
              <w:t xml:space="preserve">8.Δημιουργία 200.000 εγγυημένων θέσεων κοινωφελούς εργασίας </w:t>
            </w:r>
          </w:p>
        </w:tc>
        <w:tc>
          <w:tcPr>
            <w:tcW w:w="1843" w:type="dxa"/>
          </w:tcPr>
          <w:p w:rsidR="00B32274" w:rsidRDefault="008B35B4" w:rsidP="00B32274">
            <w:pPr>
              <w:pStyle w:val="Web"/>
              <w:spacing w:line="360" w:lineRule="auto"/>
              <w:jc w:val="center"/>
            </w:pPr>
            <w:r>
              <w:t>1,1 δις</w:t>
            </w:r>
          </w:p>
        </w:tc>
        <w:tc>
          <w:tcPr>
            <w:tcW w:w="1893" w:type="dxa"/>
          </w:tcPr>
          <w:p w:rsidR="00B32274" w:rsidRDefault="00B32274" w:rsidP="00B32274">
            <w:pPr>
              <w:pStyle w:val="Web"/>
              <w:spacing w:line="360" w:lineRule="auto"/>
              <w:jc w:val="center"/>
            </w:pPr>
          </w:p>
        </w:tc>
      </w:tr>
      <w:tr w:rsidR="00B32274" w:rsidTr="00B32274">
        <w:tc>
          <w:tcPr>
            <w:tcW w:w="4066" w:type="dxa"/>
          </w:tcPr>
          <w:p w:rsidR="00B32274" w:rsidRDefault="008B35B4" w:rsidP="00B32274">
            <w:pPr>
              <w:pStyle w:val="Web"/>
              <w:spacing w:line="360" w:lineRule="auto"/>
              <w:jc w:val="both"/>
            </w:pPr>
            <w:r>
              <w:t>9.Δημιουργία 200.000 θέσεων εργασίας μέσω σταδιακής εφαρμογής 35ωρου</w:t>
            </w:r>
          </w:p>
        </w:tc>
        <w:tc>
          <w:tcPr>
            <w:tcW w:w="1843" w:type="dxa"/>
          </w:tcPr>
          <w:p w:rsidR="00B32274" w:rsidRDefault="00B32274" w:rsidP="00B32274">
            <w:pPr>
              <w:pStyle w:val="Web"/>
              <w:spacing w:line="360" w:lineRule="auto"/>
              <w:jc w:val="center"/>
            </w:pPr>
          </w:p>
        </w:tc>
        <w:tc>
          <w:tcPr>
            <w:tcW w:w="1893" w:type="dxa"/>
          </w:tcPr>
          <w:p w:rsidR="00B32274" w:rsidRDefault="008B35B4" w:rsidP="00B32274">
            <w:pPr>
              <w:pStyle w:val="Web"/>
              <w:spacing w:line="360" w:lineRule="auto"/>
              <w:jc w:val="center"/>
            </w:pPr>
            <w:r>
              <w:t>900 εκατ.</w:t>
            </w:r>
          </w:p>
        </w:tc>
      </w:tr>
      <w:tr w:rsidR="00B32274" w:rsidTr="00B32274">
        <w:tc>
          <w:tcPr>
            <w:tcW w:w="4066" w:type="dxa"/>
          </w:tcPr>
          <w:p w:rsidR="008B35B4" w:rsidRDefault="008B35B4" w:rsidP="00B32274">
            <w:pPr>
              <w:pStyle w:val="Web"/>
              <w:spacing w:line="360" w:lineRule="auto"/>
              <w:jc w:val="both"/>
            </w:pPr>
            <w:r>
              <w:t xml:space="preserve">10.Μείωση ΦΠΑ &amp; ΕΝΦΙΑ και παράλληλη αύξηση ανώτ. φορολ. συντελεστή </w:t>
            </w:r>
            <w:r w:rsidR="00B90EFF">
              <w:t>υψηλών εισοδημάτων σε 50% όπως και μείωση φοροδιαφυγής μέσω επέκτασης χρήσης κάρτας</w:t>
            </w:r>
          </w:p>
        </w:tc>
        <w:tc>
          <w:tcPr>
            <w:tcW w:w="1843" w:type="dxa"/>
          </w:tcPr>
          <w:p w:rsidR="00B32274" w:rsidRDefault="008B35B4" w:rsidP="00B32274">
            <w:pPr>
              <w:pStyle w:val="Web"/>
              <w:spacing w:line="360" w:lineRule="auto"/>
              <w:jc w:val="center"/>
            </w:pPr>
            <w:r>
              <w:t>1,5 δις</w:t>
            </w:r>
          </w:p>
        </w:tc>
        <w:tc>
          <w:tcPr>
            <w:tcW w:w="1893" w:type="dxa"/>
          </w:tcPr>
          <w:p w:rsidR="00B32274" w:rsidRDefault="00B90EFF" w:rsidP="00B32274">
            <w:pPr>
              <w:pStyle w:val="Web"/>
              <w:spacing w:line="360" w:lineRule="auto"/>
              <w:jc w:val="center"/>
            </w:pPr>
            <w:r>
              <w:t>1,5 δις</w:t>
            </w:r>
          </w:p>
        </w:tc>
      </w:tr>
      <w:tr w:rsidR="00B32274" w:rsidTr="00B32274">
        <w:tc>
          <w:tcPr>
            <w:tcW w:w="4066" w:type="dxa"/>
          </w:tcPr>
          <w:p w:rsidR="00B32274" w:rsidRDefault="00B90EFF" w:rsidP="00B32274">
            <w:pPr>
              <w:pStyle w:val="Web"/>
              <w:spacing w:line="360" w:lineRule="auto"/>
              <w:jc w:val="both"/>
            </w:pPr>
            <w:r>
              <w:t>11.Επαναφορά ειδ. φόρου ΜΑΠ, φόρος 1% στις χρηματιστ</w:t>
            </w:r>
            <w:r w:rsidR="00B763B6">
              <w:t>ηρ</w:t>
            </w:r>
            <w:r>
              <w:t>. συναλλαγές και αύξηση φόρου μερισμάτων σε 15%</w:t>
            </w:r>
          </w:p>
        </w:tc>
        <w:tc>
          <w:tcPr>
            <w:tcW w:w="1843" w:type="dxa"/>
          </w:tcPr>
          <w:p w:rsidR="00B32274" w:rsidRDefault="00B32274" w:rsidP="00B32274">
            <w:pPr>
              <w:pStyle w:val="Web"/>
              <w:spacing w:line="360" w:lineRule="auto"/>
              <w:jc w:val="center"/>
            </w:pPr>
          </w:p>
        </w:tc>
        <w:tc>
          <w:tcPr>
            <w:tcW w:w="1893" w:type="dxa"/>
          </w:tcPr>
          <w:p w:rsidR="00B32274" w:rsidRDefault="00B90EFF" w:rsidP="00B32274">
            <w:pPr>
              <w:pStyle w:val="Web"/>
              <w:spacing w:line="360" w:lineRule="auto"/>
              <w:jc w:val="center"/>
            </w:pPr>
            <w:r>
              <w:t>1 δις</w:t>
            </w:r>
          </w:p>
        </w:tc>
      </w:tr>
      <w:tr w:rsidR="00B32274" w:rsidTr="00B32274">
        <w:tc>
          <w:tcPr>
            <w:tcW w:w="4066" w:type="dxa"/>
          </w:tcPr>
          <w:p w:rsidR="00B32274" w:rsidRDefault="00B90EFF" w:rsidP="00B90EFF">
            <w:pPr>
              <w:pStyle w:val="Web"/>
              <w:spacing w:line="360" w:lineRule="auto"/>
              <w:jc w:val="both"/>
            </w:pPr>
            <w:r>
              <w:t>12.Φόρος σε εκκλησιαστική περιουσία</w:t>
            </w:r>
          </w:p>
        </w:tc>
        <w:tc>
          <w:tcPr>
            <w:tcW w:w="1843" w:type="dxa"/>
          </w:tcPr>
          <w:p w:rsidR="00B32274" w:rsidRDefault="00B32274" w:rsidP="00B32274">
            <w:pPr>
              <w:pStyle w:val="Web"/>
              <w:spacing w:line="360" w:lineRule="auto"/>
              <w:jc w:val="center"/>
            </w:pPr>
          </w:p>
        </w:tc>
        <w:tc>
          <w:tcPr>
            <w:tcW w:w="1893" w:type="dxa"/>
          </w:tcPr>
          <w:p w:rsidR="00B32274" w:rsidRDefault="00B90EFF" w:rsidP="00B32274">
            <w:pPr>
              <w:pStyle w:val="Web"/>
              <w:spacing w:line="360" w:lineRule="auto"/>
              <w:jc w:val="center"/>
            </w:pPr>
            <w:r>
              <w:t>100 εκατ.</w:t>
            </w:r>
          </w:p>
        </w:tc>
      </w:tr>
      <w:tr w:rsidR="00A22F73" w:rsidTr="00B32274">
        <w:tc>
          <w:tcPr>
            <w:tcW w:w="4066" w:type="dxa"/>
          </w:tcPr>
          <w:p w:rsidR="00A22F73" w:rsidRDefault="00A22F73" w:rsidP="00B90EFF">
            <w:pPr>
              <w:pStyle w:val="Web"/>
              <w:spacing w:line="360" w:lineRule="auto"/>
              <w:jc w:val="both"/>
            </w:pPr>
            <w:r>
              <w:t>ΣΥΝΟΛΟ</w:t>
            </w:r>
            <w:r w:rsidR="005C572E">
              <w:t xml:space="preserve"> ΓΙΑ ΔΗΜΟΣΙΟ (σε δις)</w:t>
            </w:r>
          </w:p>
        </w:tc>
        <w:tc>
          <w:tcPr>
            <w:tcW w:w="1843" w:type="dxa"/>
          </w:tcPr>
          <w:p w:rsidR="00A22F73" w:rsidRDefault="005C572E" w:rsidP="00B32274">
            <w:pPr>
              <w:pStyle w:val="Web"/>
              <w:spacing w:line="360" w:lineRule="auto"/>
              <w:jc w:val="center"/>
            </w:pPr>
            <w:r>
              <w:t>18,2 έως 19,3</w:t>
            </w:r>
          </w:p>
        </w:tc>
        <w:tc>
          <w:tcPr>
            <w:tcW w:w="1893" w:type="dxa"/>
          </w:tcPr>
          <w:p w:rsidR="00A22F73" w:rsidRDefault="005C572E" w:rsidP="00B32274">
            <w:pPr>
              <w:pStyle w:val="Web"/>
              <w:spacing w:line="360" w:lineRule="auto"/>
              <w:jc w:val="center"/>
            </w:pPr>
            <w:r>
              <w:t>17 έως 19,4</w:t>
            </w:r>
          </w:p>
        </w:tc>
      </w:tr>
    </w:tbl>
    <w:p w:rsidR="003D695F" w:rsidRPr="00952253" w:rsidRDefault="003D695F" w:rsidP="00D5115B">
      <w:pPr>
        <w:pStyle w:val="Web"/>
        <w:spacing w:line="360" w:lineRule="auto"/>
        <w:jc w:val="both"/>
        <w:rPr>
          <w:lang w:val="en-GB"/>
        </w:rPr>
      </w:pPr>
    </w:p>
    <w:sectPr w:rsidR="003D695F" w:rsidRPr="00952253" w:rsidSect="0040006A">
      <w:headerReference w:type="default" r:id="rId1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9C04" w16cex:dateUtc="2022-02-08T23:48:00Z"/>
  <w16cex:commentExtensible w16cex:durableId="25AD9C8E" w16cex:dateUtc="2022-02-08T23:51:00Z"/>
  <w16cex:commentExtensible w16cex:durableId="25AD9D00" w16cex:dateUtc="2022-02-08T23:53:00Z"/>
  <w16cex:commentExtensible w16cex:durableId="25AD9DBE" w16cex:dateUtc="2022-02-08T23:56:00Z"/>
  <w16cex:commentExtensible w16cex:durableId="25AD9FA4" w16cex:dateUtc="2022-02-09T00:04:00Z"/>
  <w16cex:commentExtensible w16cex:durableId="25ADA075" w16cex:dateUtc="2022-02-09T00:07:00Z"/>
  <w16cex:commentExtensible w16cex:durableId="25ADA0C6" w16cex:dateUtc="2022-02-09T00:09:00Z"/>
  <w16cex:commentExtensible w16cex:durableId="25ADA24F" w16cex:dateUtc="2022-02-09T00:15:00Z"/>
  <w16cex:commentExtensible w16cex:durableId="25ADA2F8" w16cex:dateUtc="2022-02-09T00:18:00Z"/>
  <w16cex:commentExtensible w16cex:durableId="25ADA3D4" w16cex:dateUtc="2022-02-09T00:22:00Z"/>
  <w16cex:commentExtensible w16cex:durableId="25ADA541" w16cex:dateUtc="2022-02-09T00:28:00Z"/>
  <w16cex:commentExtensible w16cex:durableId="25ADA728" w16cex:dateUtc="2022-02-09T00:36:00Z"/>
  <w16cex:commentExtensible w16cex:durableId="25ADA755" w16cex:dateUtc="2022-02-09T00:37:00Z"/>
  <w16cex:commentExtensible w16cex:durableId="25ADA7DA" w16cex:dateUtc="2022-02-09T00:39:00Z"/>
  <w16cex:commentExtensible w16cex:durableId="25ADA851" w16cex:dateUtc="2022-02-09T00:41:00Z"/>
  <w16cex:commentExtensible w16cex:durableId="25ADA8B1" w16cex:dateUtc="2022-02-09T00:42:00Z"/>
  <w16cex:commentExtensible w16cex:durableId="25ADA92B" w16cex:dateUtc="2022-02-09T00:44:00Z"/>
  <w16cex:commentExtensible w16cex:durableId="25ADA980" w16cex:dateUtc="2022-02-09T00:46:00Z"/>
  <w16cex:commentExtensible w16cex:durableId="25ADAA5A" w16cex:dateUtc="2022-02-09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57464" w16cid:durableId="25AD9C04"/>
  <w16cid:commentId w16cid:paraId="04460921" w16cid:durableId="25AD9C8E"/>
  <w16cid:commentId w16cid:paraId="03FF0311" w16cid:durableId="25AD9D00"/>
  <w16cid:commentId w16cid:paraId="0F409B14" w16cid:durableId="25AD9DBE"/>
  <w16cid:commentId w16cid:paraId="6FE0595F" w16cid:durableId="25AD9FA4"/>
  <w16cid:commentId w16cid:paraId="4FF08236" w16cid:durableId="25ADA075"/>
  <w16cid:commentId w16cid:paraId="38AA725F" w16cid:durableId="25ADA0C6"/>
  <w16cid:commentId w16cid:paraId="6648853A" w16cid:durableId="25ADA24F"/>
  <w16cid:commentId w16cid:paraId="57EF9F85" w16cid:durableId="25ADA2F8"/>
  <w16cid:commentId w16cid:paraId="39D906D2" w16cid:durableId="25ADA3D4"/>
  <w16cid:commentId w16cid:paraId="74B8DD9E" w16cid:durableId="25ADA541"/>
  <w16cid:commentId w16cid:paraId="3D35FC0F" w16cid:durableId="25ADA728"/>
  <w16cid:commentId w16cid:paraId="0CDA813D" w16cid:durableId="25ADA755"/>
  <w16cid:commentId w16cid:paraId="6728D879" w16cid:durableId="25ADA7DA"/>
  <w16cid:commentId w16cid:paraId="368A15EE" w16cid:durableId="25ADA851"/>
  <w16cid:commentId w16cid:paraId="54D16916" w16cid:durableId="25ADA8B1"/>
  <w16cid:commentId w16cid:paraId="5EC3496C" w16cid:durableId="25ADA92B"/>
  <w16cid:commentId w16cid:paraId="014CAE80" w16cid:durableId="25ADA980"/>
  <w16cid:commentId w16cid:paraId="3CD8CF96" w16cid:durableId="25ADAA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9C" w:rsidRDefault="004F569C" w:rsidP="001A3CC9">
      <w:pPr>
        <w:spacing w:after="0" w:line="240" w:lineRule="auto"/>
      </w:pPr>
      <w:r>
        <w:separator/>
      </w:r>
    </w:p>
  </w:endnote>
  <w:endnote w:type="continuationSeparator" w:id="0">
    <w:p w:rsidR="004F569C" w:rsidRDefault="004F569C" w:rsidP="001A3CC9">
      <w:pPr>
        <w:spacing w:after="0" w:line="240" w:lineRule="auto"/>
      </w:pPr>
      <w:r>
        <w:continuationSeparator/>
      </w:r>
    </w:p>
  </w:endnote>
  <w:endnote w:id="1">
    <w:p w:rsidR="00853428" w:rsidRPr="00FA6EFF" w:rsidRDefault="00853428" w:rsidP="003D695F">
      <w:pPr>
        <w:pStyle w:val="a8"/>
        <w:rPr>
          <w:sz w:val="19"/>
          <w:szCs w:val="19"/>
        </w:rPr>
      </w:pPr>
      <w:r w:rsidRPr="00FA6EFF">
        <w:rPr>
          <w:rStyle w:val="ac"/>
          <w:sz w:val="19"/>
          <w:szCs w:val="19"/>
        </w:rPr>
        <w:endnoteRef/>
      </w:r>
      <w:r w:rsidRPr="00FA6EFF">
        <w:rPr>
          <w:sz w:val="19"/>
          <w:szCs w:val="19"/>
        </w:rPr>
        <w:t xml:space="preserve"> Υπάρχει έτοιμη επεξεργασία που δεν πρόλαβε να νομοθετηθεί, στη λογική της Ιταλικής νομοθεσίας (νόμος Μαρκορά κλπ.) για την ανάληψη της διοίκησης και ιδιοκτησίας από τους εργαζόμενους αι τη μετατροπή των επιχειρήσεων σε κοπερατίβες. Είναι ιστορικά επιτυχημένο παράδειγμα που απομακρύνει τον άμεσο κίνδυνο ανατροπής της πολιτικής σε περίπτωση κυβερνητικής αλλαγής. Προβλέπει τεχνική υποστήριξη και χρηματοδότηση. Χρειάζεται προσοχή για την ανάπτυξη της συνεταιριστικής κουλτούρας και την διασφάλιση της λειτουργίας των μηχανισμών ασφαλείας. Αυτές τιςημέρες μια αντίστοιχη προσπάθεια διάβρωσης συμβαίνει στο ΙΝΚΑ Χανίων (ΣΥΝΚΑ).</w:t>
      </w:r>
    </w:p>
    <w:p w:rsidR="00853428" w:rsidRPr="00FA6EFF" w:rsidRDefault="00853428" w:rsidP="003D695F">
      <w:pPr>
        <w:pStyle w:val="a8"/>
        <w:rPr>
          <w:sz w:val="19"/>
          <w:szCs w:val="19"/>
        </w:rPr>
      </w:pPr>
      <w:r w:rsidRPr="00FA6EFF">
        <w:rPr>
          <w:sz w:val="19"/>
          <w:szCs w:val="19"/>
        </w:rPr>
        <w:t>Καθώς οι πιστωτές – πλην των εργαζομένων – μπορεί να μην συναινούν σημαντικός μπορεί να είναι ο ρόλος της Αναπτυξιακής Τράπεζας ή Συνεταιριστικών στην ανάληψη – μετά από διαπραγμάτευση – αυτών των χρεών.</w:t>
      </w:r>
    </w:p>
    <w:p w:rsidR="00853428" w:rsidRPr="00FA6EFF" w:rsidRDefault="00853428" w:rsidP="003D695F">
      <w:pPr>
        <w:pStyle w:val="a8"/>
        <w:rPr>
          <w:sz w:val="19"/>
          <w:szCs w:val="19"/>
        </w:rPr>
      </w:pPr>
      <w:r w:rsidRPr="00FA6EFF">
        <w:rPr>
          <w:sz w:val="19"/>
          <w:szCs w:val="19"/>
        </w:rPr>
        <w:t>Η ανάπτυξη ισχυρού οικοσυστήματος κοπερατιβών πρέπει να αποτελεί στρατηγικό στόχο. Ένα πεδίο μπορεί να αποτελέσουν εταιρείες όπως η ΛΑΡΚΟ, ΕΝ.ΚΛΩ. κλπ. (κάθε περίπτωση θέλει ειδικό σχέδιο).</w:t>
      </w:r>
    </w:p>
    <w:p w:rsidR="00853428" w:rsidRPr="00FA6EFF" w:rsidRDefault="00853428" w:rsidP="003D695F">
      <w:pPr>
        <w:pStyle w:val="ab"/>
        <w:rPr>
          <w:sz w:val="19"/>
          <w:szCs w:val="19"/>
        </w:rPr>
      </w:pPr>
    </w:p>
  </w:endnote>
  <w:endnote w:id="2">
    <w:p w:rsidR="00853428" w:rsidRDefault="00853428" w:rsidP="003D695F">
      <w:pPr>
        <w:pStyle w:val="a8"/>
        <w:rPr>
          <w:sz w:val="19"/>
          <w:szCs w:val="19"/>
        </w:rPr>
      </w:pPr>
      <w:r w:rsidRPr="00FA6EFF">
        <w:rPr>
          <w:rStyle w:val="ac"/>
          <w:sz w:val="19"/>
          <w:szCs w:val="19"/>
        </w:rPr>
        <w:endnoteRef/>
      </w:r>
      <w:r w:rsidRPr="00FA6EFF">
        <w:rPr>
          <w:sz w:val="19"/>
          <w:szCs w:val="19"/>
        </w:rPr>
        <w:t>Αυτή η παρέμβαση μπορεί στο επενδυτικό μέρος να λειτουργήσει με χρηματοδότηση από την ΕΤΕπ ως ένα «σχέδιο Μάρσαλ» δίνοντας μία ώθηση &gt;2% του ΑΕΠ για 5-10 έτη, ως ένα σχέδιο ανέγερσης 100</w:t>
      </w:r>
      <w:r w:rsidR="00D5115B" w:rsidRPr="00FA6EFF">
        <w:rPr>
          <w:sz w:val="19"/>
          <w:szCs w:val="19"/>
        </w:rPr>
        <w:t>.</w:t>
      </w:r>
      <w:r w:rsidRPr="00FA6EFF">
        <w:rPr>
          <w:sz w:val="19"/>
          <w:szCs w:val="19"/>
        </w:rPr>
        <w:t>000 φοιτητικών εστιών και 1000 ολοήμερων σχολικών συγκροτημάτων</w:t>
      </w:r>
      <w:r w:rsidR="00D5115B" w:rsidRPr="00FA6EFF">
        <w:rPr>
          <w:sz w:val="19"/>
          <w:szCs w:val="19"/>
        </w:rPr>
        <w:t>.</w:t>
      </w:r>
      <w:r w:rsidRPr="00FA6EFF">
        <w:rPr>
          <w:sz w:val="19"/>
          <w:szCs w:val="19"/>
        </w:rPr>
        <w:t xml:space="preserve"> Αντίστοιχα ένα πρόγραμμα δημόσιας κατοικίας μ</w:t>
      </w:r>
      <w:r w:rsidR="00D5115B" w:rsidRPr="00FA6EFF">
        <w:rPr>
          <w:sz w:val="19"/>
          <w:szCs w:val="19"/>
        </w:rPr>
        <w:t>ε τους ΟΤΑ (βλ κόκκινη Βιέννη κλπ).</w:t>
      </w:r>
    </w:p>
    <w:p w:rsidR="00A10790" w:rsidRDefault="00A10790" w:rsidP="003D695F">
      <w:pPr>
        <w:pStyle w:val="ab"/>
        <w:rPr>
          <w:rFonts w:ascii="Times New Roman" w:hAnsi="Times New Roman" w:cs="Times New Roman"/>
          <w:sz w:val="24"/>
          <w:szCs w:val="24"/>
        </w:rPr>
      </w:pPr>
    </w:p>
    <w:p w:rsidR="004E4A0F" w:rsidRPr="00A10790" w:rsidRDefault="000346FA" w:rsidP="003D695F">
      <w:pPr>
        <w:pStyle w:val="ab"/>
        <w:rPr>
          <w:rFonts w:ascii="Times New Roman" w:hAnsi="Times New Roman" w:cs="Times New Roman"/>
          <w:sz w:val="24"/>
          <w:szCs w:val="24"/>
        </w:rPr>
      </w:pPr>
      <w:r w:rsidRPr="00A10790">
        <w:rPr>
          <w:rFonts w:ascii="Times New Roman" w:hAnsi="Times New Roman" w:cs="Times New Roman"/>
          <w:sz w:val="24"/>
          <w:szCs w:val="24"/>
        </w:rPr>
        <w:t xml:space="preserve">Το κείμενο υπογράφουν </w:t>
      </w:r>
    </w:p>
    <w:p w:rsidR="000346FA" w:rsidRPr="00A10790" w:rsidRDefault="000346FA" w:rsidP="003D695F">
      <w:pPr>
        <w:pStyle w:val="ab"/>
        <w:rPr>
          <w:rFonts w:ascii="Times New Roman" w:hAnsi="Times New Roman" w:cs="Times New Roman"/>
          <w:sz w:val="24"/>
          <w:szCs w:val="24"/>
        </w:rPr>
      </w:pPr>
    </w:p>
    <w:tbl>
      <w:tblPr>
        <w:tblW w:w="3402" w:type="dxa"/>
        <w:tblInd w:w="1418" w:type="dxa"/>
        <w:tblCellMar>
          <w:left w:w="0" w:type="dxa"/>
          <w:right w:w="0" w:type="dxa"/>
        </w:tblCellMar>
        <w:tblLook w:val="04A0" w:firstRow="1" w:lastRow="0" w:firstColumn="1" w:lastColumn="0" w:noHBand="0" w:noVBand="1"/>
      </w:tblPr>
      <w:tblGrid>
        <w:gridCol w:w="3402"/>
      </w:tblGrid>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22222"/>
                <w:sz w:val="24"/>
                <w:szCs w:val="24"/>
              </w:rPr>
            </w:pPr>
          </w:p>
          <w:p w:rsidR="00A10790" w:rsidRPr="003D695F" w:rsidRDefault="00A10790" w:rsidP="003D695F">
            <w:pPr>
              <w:rPr>
                <w:rFonts w:ascii="Times New Roman" w:hAnsi="Times New Roman" w:cs="Times New Roman"/>
                <w:color w:val="222222"/>
                <w:sz w:val="24"/>
                <w:szCs w:val="24"/>
              </w:rPr>
            </w:pPr>
            <w:r w:rsidRPr="003D695F">
              <w:rPr>
                <w:rFonts w:ascii="Times New Roman" w:hAnsi="Times New Roman" w:cs="Times New Roman"/>
                <w:color w:val="222222"/>
                <w:sz w:val="24"/>
                <w:szCs w:val="24"/>
              </w:rPr>
              <w:t>Βασιλείου Αντώνης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22222"/>
                <w:sz w:val="24"/>
                <w:szCs w:val="24"/>
              </w:rPr>
            </w:pPr>
            <w:r w:rsidRPr="003D695F">
              <w:rPr>
                <w:rFonts w:ascii="Times New Roman" w:hAnsi="Times New Roman" w:cs="Times New Roman"/>
                <w:color w:val="222222"/>
                <w:sz w:val="24"/>
                <w:szCs w:val="24"/>
              </w:rPr>
              <w:t xml:space="preserve">Γεωργαντά Κατερίνα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center"/>
            <w:hideMark/>
          </w:tcPr>
          <w:p w:rsidR="00A10790" w:rsidRPr="003D695F" w:rsidRDefault="00A10790" w:rsidP="003D695F">
            <w:pPr>
              <w:rPr>
                <w:rFonts w:ascii="Times New Roman" w:hAnsi="Times New Roman" w:cs="Times New Roman"/>
                <w:color w:val="202124"/>
                <w:sz w:val="24"/>
                <w:szCs w:val="24"/>
              </w:rPr>
            </w:pPr>
            <w:r w:rsidRPr="003D695F">
              <w:rPr>
                <w:rFonts w:ascii="Times New Roman" w:hAnsi="Times New Roman" w:cs="Times New Roman"/>
                <w:color w:val="202124"/>
                <w:sz w:val="24"/>
                <w:szCs w:val="24"/>
              </w:rPr>
              <w:t xml:space="preserve">Γκινοσάτης Γιώργος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22222"/>
                <w:sz w:val="24"/>
                <w:szCs w:val="24"/>
              </w:rPr>
            </w:pPr>
            <w:r w:rsidRPr="003D695F">
              <w:rPr>
                <w:rFonts w:ascii="Times New Roman" w:hAnsi="Times New Roman" w:cs="Times New Roman"/>
                <w:color w:val="222222"/>
                <w:sz w:val="24"/>
                <w:szCs w:val="24"/>
              </w:rPr>
              <w:t xml:space="preserve">Δεληγιαννίδου Αναστασία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22222"/>
                <w:sz w:val="24"/>
                <w:szCs w:val="24"/>
              </w:rPr>
            </w:pPr>
            <w:r w:rsidRPr="003D695F">
              <w:rPr>
                <w:rFonts w:ascii="Times New Roman" w:hAnsi="Times New Roman" w:cs="Times New Roman"/>
                <w:color w:val="222222"/>
                <w:sz w:val="24"/>
                <w:szCs w:val="24"/>
              </w:rPr>
              <w:t xml:space="preserve">Θεοτοκάτου Νινέτα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Καλλωνιάτης Κώστας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50505"/>
                <w:sz w:val="24"/>
                <w:szCs w:val="24"/>
              </w:rPr>
            </w:pPr>
            <w:r w:rsidRPr="003D695F">
              <w:rPr>
                <w:rFonts w:ascii="Times New Roman" w:hAnsi="Times New Roman" w:cs="Times New Roman"/>
                <w:color w:val="050505"/>
                <w:sz w:val="24"/>
                <w:szCs w:val="24"/>
              </w:rPr>
              <w:t>Καμπιλαυκας Δημήτρης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50505"/>
                <w:sz w:val="24"/>
                <w:szCs w:val="24"/>
              </w:rPr>
            </w:pPr>
            <w:r w:rsidRPr="003D695F">
              <w:rPr>
                <w:rFonts w:ascii="Times New Roman" w:hAnsi="Times New Roman" w:cs="Times New Roman"/>
                <w:color w:val="050505"/>
                <w:sz w:val="24"/>
                <w:szCs w:val="24"/>
              </w:rPr>
              <w:t>Καραΐσκος Θοδωρής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Καραμπούλας Βλάσης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50505"/>
                <w:sz w:val="24"/>
                <w:szCs w:val="24"/>
              </w:rPr>
            </w:pPr>
            <w:r w:rsidRPr="003D695F">
              <w:rPr>
                <w:rFonts w:ascii="Times New Roman" w:hAnsi="Times New Roman" w:cs="Times New Roman"/>
                <w:color w:val="050505"/>
                <w:sz w:val="24"/>
                <w:szCs w:val="24"/>
              </w:rPr>
              <w:t>Καρέλλας Δημήτρης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Καρίγιαννης Λεωνίδας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Καρυωτάκης Δαυίδ</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 xml:space="preserve">Κοιλάκος  Σταμάτης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50505"/>
                <w:sz w:val="24"/>
                <w:szCs w:val="24"/>
              </w:rPr>
            </w:pPr>
            <w:r w:rsidRPr="003D695F">
              <w:rPr>
                <w:rFonts w:ascii="Times New Roman" w:hAnsi="Times New Roman" w:cs="Times New Roman"/>
                <w:color w:val="050505"/>
                <w:sz w:val="24"/>
                <w:szCs w:val="24"/>
              </w:rPr>
              <w:t>Κότσαλης Γιώργος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Κρυωνάς Σωτήρης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22222"/>
                <w:sz w:val="24"/>
                <w:szCs w:val="24"/>
              </w:rPr>
            </w:pPr>
            <w:r w:rsidRPr="003D695F">
              <w:rPr>
                <w:rFonts w:ascii="Times New Roman" w:hAnsi="Times New Roman" w:cs="Times New Roman"/>
                <w:color w:val="222222"/>
                <w:sz w:val="24"/>
                <w:szCs w:val="24"/>
              </w:rPr>
              <w:t xml:space="preserve">Λαμπράκης Φώτης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Μαριόλη Ελένη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00000"/>
                <w:sz w:val="24"/>
                <w:szCs w:val="24"/>
              </w:rPr>
            </w:pPr>
            <w:r w:rsidRPr="003D695F">
              <w:rPr>
                <w:rFonts w:ascii="Times New Roman" w:hAnsi="Times New Roman" w:cs="Times New Roman"/>
                <w:color w:val="000000"/>
                <w:sz w:val="24"/>
                <w:szCs w:val="24"/>
              </w:rPr>
              <w:t xml:space="preserve">Μαυρομμάτη Ελένη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00000"/>
                <w:sz w:val="24"/>
                <w:szCs w:val="24"/>
              </w:rPr>
            </w:pPr>
            <w:r w:rsidRPr="003D695F">
              <w:rPr>
                <w:rFonts w:ascii="Times New Roman" w:hAnsi="Times New Roman" w:cs="Times New Roman"/>
                <w:color w:val="000000"/>
                <w:sz w:val="24"/>
                <w:szCs w:val="24"/>
              </w:rPr>
              <w:t>Μαχαίρα Χριστίνα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Μουσουλίδης Γιάννης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Νιάκας Σπύρος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50505"/>
                <w:sz w:val="24"/>
                <w:szCs w:val="24"/>
              </w:rPr>
            </w:pPr>
            <w:r w:rsidRPr="003D695F">
              <w:rPr>
                <w:rFonts w:ascii="Times New Roman" w:hAnsi="Times New Roman" w:cs="Times New Roman"/>
                <w:color w:val="050505"/>
                <w:sz w:val="24"/>
                <w:szCs w:val="24"/>
              </w:rPr>
              <w:t>Νικάκης Δημήτρης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50505"/>
                <w:sz w:val="24"/>
                <w:szCs w:val="24"/>
              </w:rPr>
            </w:pPr>
            <w:r w:rsidRPr="003D695F">
              <w:rPr>
                <w:rFonts w:ascii="Times New Roman" w:hAnsi="Times New Roman" w:cs="Times New Roman"/>
                <w:color w:val="050505"/>
                <w:sz w:val="24"/>
                <w:szCs w:val="24"/>
              </w:rPr>
              <w:t>Παντελάκης Νίκος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 xml:space="preserve">Παπαδοπούλου Δέσποινα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00000"/>
                <w:sz w:val="24"/>
                <w:szCs w:val="24"/>
              </w:rPr>
            </w:pPr>
            <w:r w:rsidRPr="003D695F">
              <w:rPr>
                <w:rFonts w:ascii="Times New Roman" w:hAnsi="Times New Roman" w:cs="Times New Roman"/>
                <w:color w:val="000000"/>
                <w:sz w:val="24"/>
                <w:szCs w:val="24"/>
              </w:rPr>
              <w:t xml:space="preserve">Πετράκη Γεωργία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00000"/>
                <w:sz w:val="24"/>
                <w:szCs w:val="24"/>
              </w:rPr>
            </w:pPr>
            <w:r w:rsidRPr="003D695F">
              <w:rPr>
                <w:rFonts w:ascii="Times New Roman" w:hAnsi="Times New Roman" w:cs="Times New Roman"/>
                <w:color w:val="000000"/>
                <w:sz w:val="24"/>
                <w:szCs w:val="24"/>
              </w:rPr>
              <w:t xml:space="preserve">Πολυδώρου Δώρος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Σαπουνά Αγγέλικα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Σκούντζου Μάγδα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 xml:space="preserve">Τζώγα Μαρία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22222"/>
                <w:sz w:val="24"/>
                <w:szCs w:val="24"/>
              </w:rPr>
            </w:pPr>
            <w:r w:rsidRPr="003D695F">
              <w:rPr>
                <w:rFonts w:ascii="Times New Roman" w:hAnsi="Times New Roman" w:cs="Times New Roman"/>
                <w:color w:val="222222"/>
                <w:sz w:val="24"/>
                <w:szCs w:val="24"/>
              </w:rPr>
              <w:t xml:space="preserve">Τσαλουχίδου Θάλεια </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50505"/>
                <w:sz w:val="24"/>
                <w:szCs w:val="24"/>
              </w:rPr>
            </w:pPr>
            <w:r w:rsidRPr="003D695F">
              <w:rPr>
                <w:rFonts w:ascii="Times New Roman" w:hAnsi="Times New Roman" w:cs="Times New Roman"/>
                <w:color w:val="050505"/>
                <w:sz w:val="24"/>
                <w:szCs w:val="24"/>
              </w:rPr>
              <w:t>Τσιντώνης Παναγιώτης</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000000"/>
                <w:sz w:val="24"/>
                <w:szCs w:val="24"/>
              </w:rPr>
            </w:pPr>
            <w:r w:rsidRPr="003D695F">
              <w:rPr>
                <w:rFonts w:ascii="Times New Roman" w:hAnsi="Times New Roman" w:cs="Times New Roman"/>
                <w:color w:val="000000"/>
                <w:sz w:val="24"/>
                <w:szCs w:val="24"/>
              </w:rPr>
              <w:t>Χαρχάλου Κερκύρα</w:t>
            </w:r>
          </w:p>
        </w:tc>
      </w:tr>
      <w:tr w:rsidR="00A10790" w:rsidRPr="003D695F" w:rsidTr="00C54270">
        <w:trPr>
          <w:trHeight w:val="300"/>
        </w:trPr>
        <w:tc>
          <w:tcPr>
            <w:tcW w:w="3402" w:type="dxa"/>
            <w:tcBorders>
              <w:top w:val="nil"/>
              <w:left w:val="nil"/>
              <w:bottom w:val="nil"/>
              <w:right w:val="nil"/>
            </w:tcBorders>
            <w:shd w:val="clear" w:color="auto" w:fill="auto"/>
            <w:noWrap/>
            <w:tcMar>
              <w:top w:w="15" w:type="dxa"/>
              <w:left w:w="15" w:type="dxa"/>
              <w:bottom w:w="0" w:type="dxa"/>
              <w:right w:w="15" w:type="dxa"/>
            </w:tcMar>
            <w:vAlign w:val="bottom"/>
            <w:hideMark/>
          </w:tcPr>
          <w:p w:rsidR="00A10790" w:rsidRPr="003D695F" w:rsidRDefault="00A10790" w:rsidP="003D695F">
            <w:pPr>
              <w:rPr>
                <w:rFonts w:ascii="Times New Roman" w:hAnsi="Times New Roman" w:cs="Times New Roman"/>
                <w:color w:val="26282A"/>
                <w:sz w:val="24"/>
                <w:szCs w:val="24"/>
              </w:rPr>
            </w:pPr>
            <w:r w:rsidRPr="003D695F">
              <w:rPr>
                <w:rFonts w:ascii="Times New Roman" w:hAnsi="Times New Roman" w:cs="Times New Roman"/>
                <w:color w:val="26282A"/>
                <w:sz w:val="24"/>
                <w:szCs w:val="24"/>
              </w:rPr>
              <w:t>Χριστούλη Έλενα  </w:t>
            </w:r>
          </w:p>
        </w:tc>
      </w:tr>
    </w:tbl>
    <w:p w:rsidR="004E4A0F" w:rsidRPr="003D695F" w:rsidRDefault="004E4A0F" w:rsidP="003D695F">
      <w:pPr>
        <w:pStyle w:val="a8"/>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9C" w:rsidRDefault="004F569C" w:rsidP="001A3CC9">
      <w:pPr>
        <w:spacing w:after="0" w:line="240" w:lineRule="auto"/>
      </w:pPr>
      <w:r>
        <w:separator/>
      </w:r>
    </w:p>
  </w:footnote>
  <w:footnote w:type="continuationSeparator" w:id="0">
    <w:p w:rsidR="004F569C" w:rsidRDefault="004F569C" w:rsidP="001A3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4586"/>
      <w:docPartObj>
        <w:docPartGallery w:val="Page Numbers (Top of Page)"/>
        <w:docPartUnique/>
      </w:docPartObj>
    </w:sdtPr>
    <w:sdtEndPr/>
    <w:sdtContent>
      <w:p w:rsidR="00317E0A" w:rsidRDefault="00002688">
        <w:pPr>
          <w:pStyle w:val="a3"/>
          <w:jc w:val="center"/>
        </w:pPr>
        <w:r>
          <w:fldChar w:fldCharType="begin"/>
        </w:r>
        <w:r w:rsidR="00536A82">
          <w:instrText xml:space="preserve"> PAGE   \* MERGEFORMAT </w:instrText>
        </w:r>
        <w:r>
          <w:fldChar w:fldCharType="separate"/>
        </w:r>
        <w:r w:rsidR="00B05D16">
          <w:rPr>
            <w:noProof/>
          </w:rPr>
          <w:t>1</w:t>
        </w:r>
        <w:r>
          <w:rPr>
            <w:noProof/>
          </w:rPr>
          <w:fldChar w:fldCharType="end"/>
        </w:r>
      </w:p>
    </w:sdtContent>
  </w:sdt>
  <w:p w:rsidR="00317E0A" w:rsidRDefault="00317E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7F80"/>
    <w:multiLevelType w:val="multilevel"/>
    <w:tmpl w:val="3594CDE0"/>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202DE"/>
    <w:multiLevelType w:val="hybridMultilevel"/>
    <w:tmpl w:val="63B69AE0"/>
    <w:lvl w:ilvl="0" w:tplc="04080013">
      <w:start w:val="1"/>
      <w:numFmt w:val="upperRoman"/>
      <w:lvlText w:val="%1."/>
      <w:lvlJc w:val="righ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
    <w:nsid w:val="37C84130"/>
    <w:multiLevelType w:val="multilevel"/>
    <w:tmpl w:val="1AEE9BF4"/>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747DA"/>
    <w:multiLevelType w:val="multilevel"/>
    <w:tmpl w:val="89C6D8E2"/>
    <w:lvl w:ilvl="0">
      <w:start w:val="1"/>
      <w:numFmt w:val="decimal"/>
      <w:lvlText w:val="%1."/>
      <w:lvlJc w:val="left"/>
      <w:pPr>
        <w:tabs>
          <w:tab w:val="num" w:pos="720"/>
        </w:tabs>
        <w:ind w:left="720" w:hanging="360"/>
      </w:pPr>
      <w:rPr>
        <w:rFont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60F57"/>
    <w:multiLevelType w:val="hybridMultilevel"/>
    <w:tmpl w:val="677C8BE2"/>
    <w:lvl w:ilvl="0" w:tplc="04080001">
      <w:start w:val="1"/>
      <w:numFmt w:val="bullet"/>
      <w:lvlText w:val=""/>
      <w:lvlJc w:val="left"/>
      <w:pPr>
        <w:ind w:left="717" w:hanging="360"/>
      </w:pPr>
      <w:rPr>
        <w:rFonts w:ascii="Symbol" w:hAnsi="Symbol"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F5"/>
    <w:rsid w:val="00002688"/>
    <w:rsid w:val="00003C2A"/>
    <w:rsid w:val="000346FA"/>
    <w:rsid w:val="00062BE6"/>
    <w:rsid w:val="00090655"/>
    <w:rsid w:val="000917B6"/>
    <w:rsid w:val="000964A6"/>
    <w:rsid w:val="000A7AE7"/>
    <w:rsid w:val="000B3899"/>
    <w:rsid w:val="000B4CC6"/>
    <w:rsid w:val="000C6601"/>
    <w:rsid w:val="000D0D0D"/>
    <w:rsid w:val="000E5CB6"/>
    <w:rsid w:val="000F2762"/>
    <w:rsid w:val="000F74FF"/>
    <w:rsid w:val="00102D39"/>
    <w:rsid w:val="001275DF"/>
    <w:rsid w:val="00155CE2"/>
    <w:rsid w:val="001577DC"/>
    <w:rsid w:val="00167DC5"/>
    <w:rsid w:val="001953C6"/>
    <w:rsid w:val="00195A39"/>
    <w:rsid w:val="001A3CC9"/>
    <w:rsid w:val="001D53AC"/>
    <w:rsid w:val="00204478"/>
    <w:rsid w:val="0020792A"/>
    <w:rsid w:val="00212D77"/>
    <w:rsid w:val="00215491"/>
    <w:rsid w:val="002761FE"/>
    <w:rsid w:val="002A27F6"/>
    <w:rsid w:val="002C12A9"/>
    <w:rsid w:val="002C26D0"/>
    <w:rsid w:val="002D1181"/>
    <w:rsid w:val="002F21CE"/>
    <w:rsid w:val="0030074E"/>
    <w:rsid w:val="00314F66"/>
    <w:rsid w:val="00317E0A"/>
    <w:rsid w:val="003204B0"/>
    <w:rsid w:val="0033584C"/>
    <w:rsid w:val="0035521E"/>
    <w:rsid w:val="00360108"/>
    <w:rsid w:val="0036580A"/>
    <w:rsid w:val="0038338E"/>
    <w:rsid w:val="003A334A"/>
    <w:rsid w:val="003A7C5E"/>
    <w:rsid w:val="003C11E3"/>
    <w:rsid w:val="003D1581"/>
    <w:rsid w:val="003D4AC4"/>
    <w:rsid w:val="003D695F"/>
    <w:rsid w:val="003E5538"/>
    <w:rsid w:val="003F339A"/>
    <w:rsid w:val="003F58B3"/>
    <w:rsid w:val="0040006A"/>
    <w:rsid w:val="0045058E"/>
    <w:rsid w:val="00472D01"/>
    <w:rsid w:val="00484254"/>
    <w:rsid w:val="00490CDA"/>
    <w:rsid w:val="004D1C3F"/>
    <w:rsid w:val="004E4A0F"/>
    <w:rsid w:val="004F0DAF"/>
    <w:rsid w:val="004F569C"/>
    <w:rsid w:val="00517B83"/>
    <w:rsid w:val="00525AA4"/>
    <w:rsid w:val="00533681"/>
    <w:rsid w:val="00536A82"/>
    <w:rsid w:val="00536CF0"/>
    <w:rsid w:val="00556AE2"/>
    <w:rsid w:val="0055707E"/>
    <w:rsid w:val="00567E4D"/>
    <w:rsid w:val="00573246"/>
    <w:rsid w:val="00574A17"/>
    <w:rsid w:val="005A7F53"/>
    <w:rsid w:val="005C572E"/>
    <w:rsid w:val="005D739D"/>
    <w:rsid w:val="0062249F"/>
    <w:rsid w:val="00656DF5"/>
    <w:rsid w:val="00692BBF"/>
    <w:rsid w:val="006A4FB7"/>
    <w:rsid w:val="006A6C33"/>
    <w:rsid w:val="007152AE"/>
    <w:rsid w:val="007429EB"/>
    <w:rsid w:val="00766356"/>
    <w:rsid w:val="00793539"/>
    <w:rsid w:val="0079491A"/>
    <w:rsid w:val="007A3FC5"/>
    <w:rsid w:val="007C0126"/>
    <w:rsid w:val="007D7444"/>
    <w:rsid w:val="0082003F"/>
    <w:rsid w:val="00853428"/>
    <w:rsid w:val="00885B73"/>
    <w:rsid w:val="00885F5F"/>
    <w:rsid w:val="00887EE4"/>
    <w:rsid w:val="008A4B16"/>
    <w:rsid w:val="008A5D8C"/>
    <w:rsid w:val="008B3236"/>
    <w:rsid w:val="008B35B4"/>
    <w:rsid w:val="008C47A4"/>
    <w:rsid w:val="008E13FF"/>
    <w:rsid w:val="0090024D"/>
    <w:rsid w:val="00922069"/>
    <w:rsid w:val="00940F8B"/>
    <w:rsid w:val="00952253"/>
    <w:rsid w:val="009548D5"/>
    <w:rsid w:val="0096392E"/>
    <w:rsid w:val="00980DF5"/>
    <w:rsid w:val="00985C7C"/>
    <w:rsid w:val="00992C64"/>
    <w:rsid w:val="009B2F2E"/>
    <w:rsid w:val="009C0E65"/>
    <w:rsid w:val="009E0C23"/>
    <w:rsid w:val="009F7A22"/>
    <w:rsid w:val="00A10790"/>
    <w:rsid w:val="00A22F73"/>
    <w:rsid w:val="00A271B8"/>
    <w:rsid w:val="00A349E7"/>
    <w:rsid w:val="00A36C44"/>
    <w:rsid w:val="00A47E7A"/>
    <w:rsid w:val="00A52453"/>
    <w:rsid w:val="00A63B54"/>
    <w:rsid w:val="00A660C7"/>
    <w:rsid w:val="00A87B79"/>
    <w:rsid w:val="00AF0957"/>
    <w:rsid w:val="00B05D16"/>
    <w:rsid w:val="00B10042"/>
    <w:rsid w:val="00B32274"/>
    <w:rsid w:val="00B33C5E"/>
    <w:rsid w:val="00B34446"/>
    <w:rsid w:val="00B5592F"/>
    <w:rsid w:val="00B55A7B"/>
    <w:rsid w:val="00B763B6"/>
    <w:rsid w:val="00B90EFF"/>
    <w:rsid w:val="00B96BF0"/>
    <w:rsid w:val="00B97848"/>
    <w:rsid w:val="00BB7B1D"/>
    <w:rsid w:val="00BD6C35"/>
    <w:rsid w:val="00C106C6"/>
    <w:rsid w:val="00C41D25"/>
    <w:rsid w:val="00C70AA5"/>
    <w:rsid w:val="00C97131"/>
    <w:rsid w:val="00CA5954"/>
    <w:rsid w:val="00CC3FD0"/>
    <w:rsid w:val="00CD0E33"/>
    <w:rsid w:val="00CD3643"/>
    <w:rsid w:val="00CD5477"/>
    <w:rsid w:val="00D05C56"/>
    <w:rsid w:val="00D118AA"/>
    <w:rsid w:val="00D414E9"/>
    <w:rsid w:val="00D45B1D"/>
    <w:rsid w:val="00D5115B"/>
    <w:rsid w:val="00D7049C"/>
    <w:rsid w:val="00D90B5A"/>
    <w:rsid w:val="00DA18E1"/>
    <w:rsid w:val="00DB4C4D"/>
    <w:rsid w:val="00E1741D"/>
    <w:rsid w:val="00E211AD"/>
    <w:rsid w:val="00E26BF0"/>
    <w:rsid w:val="00E45D8F"/>
    <w:rsid w:val="00E51F2F"/>
    <w:rsid w:val="00E5269A"/>
    <w:rsid w:val="00E66DBE"/>
    <w:rsid w:val="00E918F2"/>
    <w:rsid w:val="00E96756"/>
    <w:rsid w:val="00EC4C0C"/>
    <w:rsid w:val="00EC572D"/>
    <w:rsid w:val="00EF696F"/>
    <w:rsid w:val="00F07C4F"/>
    <w:rsid w:val="00F254C3"/>
    <w:rsid w:val="00F71ED4"/>
    <w:rsid w:val="00F86964"/>
    <w:rsid w:val="00F86F02"/>
    <w:rsid w:val="00FA6D33"/>
    <w:rsid w:val="00FA6EFF"/>
    <w:rsid w:val="00FB1316"/>
    <w:rsid w:val="00FB32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0DF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unhideWhenUsed/>
    <w:rsid w:val="00980DF5"/>
    <w:pPr>
      <w:tabs>
        <w:tab w:val="center" w:pos="4153"/>
        <w:tab w:val="right" w:pos="8306"/>
      </w:tabs>
      <w:spacing w:after="0" w:line="240" w:lineRule="auto"/>
    </w:pPr>
  </w:style>
  <w:style w:type="character" w:customStyle="1" w:styleId="Char">
    <w:name w:val="Κεφαλίδα Char"/>
    <w:basedOn w:val="a0"/>
    <w:link w:val="a3"/>
    <w:uiPriority w:val="99"/>
    <w:rsid w:val="00980DF5"/>
  </w:style>
  <w:style w:type="character" w:styleId="-">
    <w:name w:val="Hyperlink"/>
    <w:basedOn w:val="a0"/>
    <w:uiPriority w:val="99"/>
    <w:unhideWhenUsed/>
    <w:rsid w:val="00980DF5"/>
    <w:rPr>
      <w:color w:val="0000FF" w:themeColor="hyperlink"/>
      <w:u w:val="single"/>
    </w:rPr>
  </w:style>
  <w:style w:type="paragraph" w:styleId="a4">
    <w:name w:val="footer"/>
    <w:basedOn w:val="a"/>
    <w:link w:val="Char0"/>
    <w:uiPriority w:val="99"/>
    <w:unhideWhenUsed/>
    <w:rsid w:val="001A3CC9"/>
    <w:pPr>
      <w:tabs>
        <w:tab w:val="center" w:pos="4153"/>
        <w:tab w:val="right" w:pos="8306"/>
      </w:tabs>
      <w:spacing w:after="0" w:line="240" w:lineRule="auto"/>
    </w:pPr>
  </w:style>
  <w:style w:type="character" w:customStyle="1" w:styleId="Char0">
    <w:name w:val="Υποσέλιδο Char"/>
    <w:basedOn w:val="a0"/>
    <w:link w:val="a4"/>
    <w:uiPriority w:val="99"/>
    <w:rsid w:val="001A3CC9"/>
  </w:style>
  <w:style w:type="table" w:styleId="a5">
    <w:name w:val="Table Grid"/>
    <w:basedOn w:val="a1"/>
    <w:uiPriority w:val="59"/>
    <w:rsid w:val="00B32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3D4AC4"/>
    <w:rPr>
      <w:i/>
      <w:iCs/>
    </w:rPr>
  </w:style>
  <w:style w:type="character" w:styleId="a7">
    <w:name w:val="annotation reference"/>
    <w:basedOn w:val="a0"/>
    <w:uiPriority w:val="99"/>
    <w:semiHidden/>
    <w:unhideWhenUsed/>
    <w:rsid w:val="00090655"/>
    <w:rPr>
      <w:sz w:val="16"/>
      <w:szCs w:val="16"/>
    </w:rPr>
  </w:style>
  <w:style w:type="paragraph" w:styleId="a8">
    <w:name w:val="annotation text"/>
    <w:basedOn w:val="a"/>
    <w:link w:val="Char1"/>
    <w:uiPriority w:val="99"/>
    <w:unhideWhenUsed/>
    <w:rsid w:val="00090655"/>
    <w:pPr>
      <w:spacing w:line="240" w:lineRule="auto"/>
    </w:pPr>
    <w:rPr>
      <w:sz w:val="20"/>
      <w:szCs w:val="20"/>
    </w:rPr>
  </w:style>
  <w:style w:type="character" w:customStyle="1" w:styleId="Char1">
    <w:name w:val="Κείμενο σχολίου Char"/>
    <w:basedOn w:val="a0"/>
    <w:link w:val="a8"/>
    <w:uiPriority w:val="99"/>
    <w:rsid w:val="00090655"/>
    <w:rPr>
      <w:sz w:val="20"/>
      <w:szCs w:val="20"/>
    </w:rPr>
  </w:style>
  <w:style w:type="paragraph" w:styleId="a9">
    <w:name w:val="annotation subject"/>
    <w:basedOn w:val="a8"/>
    <w:next w:val="a8"/>
    <w:link w:val="Char2"/>
    <w:uiPriority w:val="99"/>
    <w:semiHidden/>
    <w:unhideWhenUsed/>
    <w:rsid w:val="00090655"/>
    <w:rPr>
      <w:b/>
      <w:bCs/>
    </w:rPr>
  </w:style>
  <w:style w:type="character" w:customStyle="1" w:styleId="Char2">
    <w:name w:val="Θέμα σχολίου Char"/>
    <w:basedOn w:val="Char1"/>
    <w:link w:val="a9"/>
    <w:uiPriority w:val="99"/>
    <w:semiHidden/>
    <w:rsid w:val="00090655"/>
    <w:rPr>
      <w:b/>
      <w:bCs/>
      <w:sz w:val="20"/>
      <w:szCs w:val="20"/>
    </w:rPr>
  </w:style>
  <w:style w:type="paragraph" w:styleId="aa">
    <w:name w:val="Balloon Text"/>
    <w:basedOn w:val="a"/>
    <w:link w:val="Char3"/>
    <w:uiPriority w:val="99"/>
    <w:semiHidden/>
    <w:unhideWhenUsed/>
    <w:rsid w:val="002761FE"/>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2761FE"/>
    <w:rPr>
      <w:rFonts w:ascii="Tahoma" w:hAnsi="Tahoma" w:cs="Tahoma"/>
      <w:sz w:val="16"/>
      <w:szCs w:val="16"/>
    </w:rPr>
  </w:style>
  <w:style w:type="paragraph" w:styleId="ab">
    <w:name w:val="endnote text"/>
    <w:basedOn w:val="a"/>
    <w:link w:val="Char4"/>
    <w:uiPriority w:val="99"/>
    <w:semiHidden/>
    <w:unhideWhenUsed/>
    <w:rsid w:val="00853428"/>
    <w:pPr>
      <w:spacing w:after="0" w:line="240" w:lineRule="auto"/>
    </w:pPr>
    <w:rPr>
      <w:sz w:val="20"/>
      <w:szCs w:val="20"/>
    </w:rPr>
  </w:style>
  <w:style w:type="character" w:customStyle="1" w:styleId="Char4">
    <w:name w:val="Κείμενο σημείωσης τέλους Char"/>
    <w:basedOn w:val="a0"/>
    <w:link w:val="ab"/>
    <w:uiPriority w:val="99"/>
    <w:semiHidden/>
    <w:rsid w:val="00853428"/>
    <w:rPr>
      <w:sz w:val="20"/>
      <w:szCs w:val="20"/>
    </w:rPr>
  </w:style>
  <w:style w:type="character" w:styleId="ac">
    <w:name w:val="endnote reference"/>
    <w:basedOn w:val="a0"/>
    <w:uiPriority w:val="99"/>
    <w:semiHidden/>
    <w:unhideWhenUsed/>
    <w:rsid w:val="008534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0DF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unhideWhenUsed/>
    <w:rsid w:val="00980DF5"/>
    <w:pPr>
      <w:tabs>
        <w:tab w:val="center" w:pos="4153"/>
        <w:tab w:val="right" w:pos="8306"/>
      </w:tabs>
      <w:spacing w:after="0" w:line="240" w:lineRule="auto"/>
    </w:pPr>
  </w:style>
  <w:style w:type="character" w:customStyle="1" w:styleId="Char">
    <w:name w:val="Κεφαλίδα Char"/>
    <w:basedOn w:val="a0"/>
    <w:link w:val="a3"/>
    <w:uiPriority w:val="99"/>
    <w:rsid w:val="00980DF5"/>
  </w:style>
  <w:style w:type="character" w:styleId="-">
    <w:name w:val="Hyperlink"/>
    <w:basedOn w:val="a0"/>
    <w:uiPriority w:val="99"/>
    <w:unhideWhenUsed/>
    <w:rsid w:val="00980DF5"/>
    <w:rPr>
      <w:color w:val="0000FF" w:themeColor="hyperlink"/>
      <w:u w:val="single"/>
    </w:rPr>
  </w:style>
  <w:style w:type="paragraph" w:styleId="a4">
    <w:name w:val="footer"/>
    <w:basedOn w:val="a"/>
    <w:link w:val="Char0"/>
    <w:uiPriority w:val="99"/>
    <w:unhideWhenUsed/>
    <w:rsid w:val="001A3CC9"/>
    <w:pPr>
      <w:tabs>
        <w:tab w:val="center" w:pos="4153"/>
        <w:tab w:val="right" w:pos="8306"/>
      </w:tabs>
      <w:spacing w:after="0" w:line="240" w:lineRule="auto"/>
    </w:pPr>
  </w:style>
  <w:style w:type="character" w:customStyle="1" w:styleId="Char0">
    <w:name w:val="Υποσέλιδο Char"/>
    <w:basedOn w:val="a0"/>
    <w:link w:val="a4"/>
    <w:uiPriority w:val="99"/>
    <w:rsid w:val="001A3CC9"/>
  </w:style>
  <w:style w:type="table" w:styleId="a5">
    <w:name w:val="Table Grid"/>
    <w:basedOn w:val="a1"/>
    <w:uiPriority w:val="59"/>
    <w:rsid w:val="00B32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3D4AC4"/>
    <w:rPr>
      <w:i/>
      <w:iCs/>
    </w:rPr>
  </w:style>
  <w:style w:type="character" w:styleId="a7">
    <w:name w:val="annotation reference"/>
    <w:basedOn w:val="a0"/>
    <w:uiPriority w:val="99"/>
    <w:semiHidden/>
    <w:unhideWhenUsed/>
    <w:rsid w:val="00090655"/>
    <w:rPr>
      <w:sz w:val="16"/>
      <w:szCs w:val="16"/>
    </w:rPr>
  </w:style>
  <w:style w:type="paragraph" w:styleId="a8">
    <w:name w:val="annotation text"/>
    <w:basedOn w:val="a"/>
    <w:link w:val="Char1"/>
    <w:uiPriority w:val="99"/>
    <w:unhideWhenUsed/>
    <w:rsid w:val="00090655"/>
    <w:pPr>
      <w:spacing w:line="240" w:lineRule="auto"/>
    </w:pPr>
    <w:rPr>
      <w:sz w:val="20"/>
      <w:szCs w:val="20"/>
    </w:rPr>
  </w:style>
  <w:style w:type="character" w:customStyle="1" w:styleId="Char1">
    <w:name w:val="Κείμενο σχολίου Char"/>
    <w:basedOn w:val="a0"/>
    <w:link w:val="a8"/>
    <w:uiPriority w:val="99"/>
    <w:rsid w:val="00090655"/>
    <w:rPr>
      <w:sz w:val="20"/>
      <w:szCs w:val="20"/>
    </w:rPr>
  </w:style>
  <w:style w:type="paragraph" w:styleId="a9">
    <w:name w:val="annotation subject"/>
    <w:basedOn w:val="a8"/>
    <w:next w:val="a8"/>
    <w:link w:val="Char2"/>
    <w:uiPriority w:val="99"/>
    <w:semiHidden/>
    <w:unhideWhenUsed/>
    <w:rsid w:val="00090655"/>
    <w:rPr>
      <w:b/>
      <w:bCs/>
    </w:rPr>
  </w:style>
  <w:style w:type="character" w:customStyle="1" w:styleId="Char2">
    <w:name w:val="Θέμα σχολίου Char"/>
    <w:basedOn w:val="Char1"/>
    <w:link w:val="a9"/>
    <w:uiPriority w:val="99"/>
    <w:semiHidden/>
    <w:rsid w:val="00090655"/>
    <w:rPr>
      <w:b/>
      <w:bCs/>
      <w:sz w:val="20"/>
      <w:szCs w:val="20"/>
    </w:rPr>
  </w:style>
  <w:style w:type="paragraph" w:styleId="aa">
    <w:name w:val="Balloon Text"/>
    <w:basedOn w:val="a"/>
    <w:link w:val="Char3"/>
    <w:uiPriority w:val="99"/>
    <w:semiHidden/>
    <w:unhideWhenUsed/>
    <w:rsid w:val="002761FE"/>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2761FE"/>
    <w:rPr>
      <w:rFonts w:ascii="Tahoma" w:hAnsi="Tahoma" w:cs="Tahoma"/>
      <w:sz w:val="16"/>
      <w:szCs w:val="16"/>
    </w:rPr>
  </w:style>
  <w:style w:type="paragraph" w:styleId="ab">
    <w:name w:val="endnote text"/>
    <w:basedOn w:val="a"/>
    <w:link w:val="Char4"/>
    <w:uiPriority w:val="99"/>
    <w:semiHidden/>
    <w:unhideWhenUsed/>
    <w:rsid w:val="00853428"/>
    <w:pPr>
      <w:spacing w:after="0" w:line="240" w:lineRule="auto"/>
    </w:pPr>
    <w:rPr>
      <w:sz w:val="20"/>
      <w:szCs w:val="20"/>
    </w:rPr>
  </w:style>
  <w:style w:type="character" w:customStyle="1" w:styleId="Char4">
    <w:name w:val="Κείμενο σημείωσης τέλους Char"/>
    <w:basedOn w:val="a0"/>
    <w:link w:val="ab"/>
    <w:uiPriority w:val="99"/>
    <w:semiHidden/>
    <w:rsid w:val="00853428"/>
    <w:rPr>
      <w:sz w:val="20"/>
      <w:szCs w:val="20"/>
    </w:rPr>
  </w:style>
  <w:style w:type="character" w:styleId="ac">
    <w:name w:val="endnote reference"/>
    <w:basedOn w:val="a0"/>
    <w:uiPriority w:val="99"/>
    <w:semiHidden/>
    <w:unhideWhenUsed/>
    <w:rsid w:val="00853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c.europa.eu/eurostat/web/macroeconomic-imbalances-procedure/data/scoreboard" TargetMode="External"/><Relationship Id="rId4" Type="http://schemas.microsoft.com/office/2007/relationships/stylesWithEffects" Target="stylesWithEffects.xml"/><Relationship Id="rId9" Type="http://schemas.openxmlformats.org/officeDocument/2006/relationships/hyperlink" Target="https://www.esm.europa.eu/publications/eu-fiscal-rules-reform-considerations" TargetMode="External"/><Relationship Id="rId14"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06EB-AA92-4F9B-8AE3-7B9E4042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3108</Words>
  <Characters>16785</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serge gakas</cp:lastModifiedBy>
  <cp:revision>2</cp:revision>
  <cp:lastPrinted>2021-11-19T21:11:00Z</cp:lastPrinted>
  <dcterms:created xsi:type="dcterms:W3CDTF">2022-02-25T14:19:00Z</dcterms:created>
  <dcterms:modified xsi:type="dcterms:W3CDTF">2022-02-25T14:19:00Z</dcterms:modified>
</cp:coreProperties>
</file>